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5300"/>
        <w:rPr>
          <w:sz w:val="24"/>
          <w:lang w:val="uk-UA"/>
        </w:rPr>
      </w:pPr>
      <w:r>
        <w:rPr>
          <w:sz w:val="24"/>
          <w:lang w:val="uk-UA"/>
        </w:rPr>
      </w:r>
    </w:p>
    <w:p>
      <w:pPr>
        <w:pStyle w:val="Normal"/>
        <w:ind w:firstLine="5300"/>
        <w:rPr>
          <w:sz w:val="24"/>
          <w:lang w:val="uk-UA"/>
        </w:rPr>
      </w:pPr>
      <w:r>
        <w:rPr>
          <w:sz w:val="24"/>
          <w:lang w:val="uk-UA"/>
        </w:rPr>
        <w:t xml:space="preserve">                             </w:t>
      </w:r>
      <w:r>
        <w:rPr>
          <w:sz w:val="24"/>
        </w:rPr>
        <w:t xml:space="preserve">Додаток </w:t>
      </w:r>
      <w:r>
        <w:rPr>
          <w:sz w:val="24"/>
          <w:lang w:val="uk-UA"/>
        </w:rPr>
        <w:t>1</w:t>
      </w:r>
    </w:p>
    <w:p>
      <w:pPr>
        <w:pStyle w:val="Normal"/>
        <w:ind w:firstLine="5300"/>
        <w:rPr/>
      </w:pPr>
      <w:r>
        <w:rPr>
          <w:sz w:val="24"/>
          <w:lang w:val="uk-UA"/>
        </w:rPr>
        <w:t xml:space="preserve">                             </w:t>
      </w:r>
      <w:r>
        <w:rPr>
          <w:sz w:val="24"/>
        </w:rPr>
        <w:t>до рішення міської ради</w:t>
      </w:r>
    </w:p>
    <w:p>
      <w:pPr>
        <w:pStyle w:val="ShapkaDocumentu"/>
        <w:rPr/>
      </w:pPr>
      <w:r>
        <w:rPr>
          <w:rFonts w:cs="Times New Roman" w:ascii="Times New Roman" w:hAnsi="Times New Roman"/>
          <w:sz w:val="24"/>
          <w:szCs w:val="24"/>
        </w:rPr>
        <w:t xml:space="preserve">                                                   </w:t>
      </w:r>
      <w:r>
        <w:rPr>
          <w:rFonts w:cs="Times New Roman" w:ascii="Times New Roman" w:hAnsi="Times New Roman"/>
          <w:sz w:val="24"/>
          <w:szCs w:val="24"/>
        </w:rPr>
        <w:t>від ____________. № ______</w:t>
      </w:r>
      <w:r>
        <w:rPr>
          <w:rFonts w:cs="Times New Roman" w:ascii="Times New Roman" w:hAnsi="Times New Roman"/>
          <w:sz w:val="24"/>
          <w:szCs w:val="24"/>
          <w:lang w:val="ru-RU" w:eastAsia="uk-UA"/>
        </w:rPr>
        <w:t xml:space="preserve"> </w:t>
      </w:r>
    </w:p>
    <w:p>
      <w:pPr>
        <w:pStyle w:val="Style31"/>
        <w:jc w:val="both"/>
        <w:rPr>
          <w:rFonts w:ascii="Times New Roman" w:hAnsi="Times New Roman" w:cs="Times New Roman"/>
          <w:sz w:val="24"/>
          <w:szCs w:val="24"/>
          <w:lang w:val="ru-RU" w:eastAsia="uk-UA"/>
        </w:rPr>
      </w:pPr>
      <w:r>
        <w:rPr>
          <w:rFonts w:cs="Times New Roman" w:ascii="Times New Roman" w:hAnsi="Times New Roman"/>
          <w:sz w:val="24"/>
          <w:szCs w:val="24"/>
          <w:lang w:val="ru-RU" w:eastAsia="uk-UA"/>
        </w:rPr>
      </w:r>
    </w:p>
    <w:p>
      <w:pPr>
        <w:pStyle w:val="Style22"/>
        <w:rPr>
          <w:rFonts w:ascii="Times New Roman" w:hAnsi="Times New Roman" w:cs="Times New Roman"/>
          <w:b w:val="false"/>
          <w:b w:val="false"/>
          <w:sz w:val="24"/>
          <w:szCs w:val="24"/>
          <w:lang w:val="uk-UA"/>
        </w:rPr>
      </w:pPr>
      <w:r>
        <w:rPr>
          <w:rFonts w:cs="Times New Roman" w:ascii="Times New Roman" w:hAnsi="Times New Roman"/>
          <w:b w:val="false"/>
          <w:sz w:val="24"/>
          <w:szCs w:val="24"/>
          <w:lang w:val="uk-UA" w:eastAsia="uk-UA"/>
        </w:rPr>
        <w:t>Ставки земельного податку</w:t>
      </w:r>
      <w:r>
        <w:rPr>
          <w:rFonts w:cs="Times New Roman" w:ascii="Times New Roman" w:hAnsi="Times New Roman"/>
          <w:sz w:val="24"/>
          <w:szCs w:val="24"/>
          <w:vertAlign w:val="superscript"/>
          <w:lang w:val="uk-UA" w:eastAsia="uk-UA"/>
        </w:rPr>
        <w:t>1</w:t>
      </w:r>
      <w:r>
        <w:rPr>
          <w:rFonts w:cs="Times New Roman" w:ascii="Times New Roman" w:hAnsi="Times New Roman"/>
          <w:b w:val="false"/>
          <w:sz w:val="24"/>
          <w:szCs w:val="24"/>
          <w:lang w:val="uk-UA" w:eastAsia="uk-UA"/>
        </w:rPr>
        <w:t xml:space="preserve">, </w:t>
      </w:r>
      <w:r>
        <w:rPr>
          <w:rFonts w:cs="Times New Roman" w:ascii="Times New Roman" w:hAnsi="Times New Roman"/>
          <w:b w:val="false"/>
          <w:sz w:val="24"/>
          <w:szCs w:val="24"/>
          <w:lang w:val="uk-UA" w:eastAsia="uk-UA"/>
        </w:rPr>
        <w:t>що</w:t>
      </w:r>
      <w:r>
        <w:rPr>
          <w:rFonts w:cs="Times New Roman" w:ascii="Times New Roman" w:hAnsi="Times New Roman"/>
          <w:b w:val="false"/>
          <w:sz w:val="24"/>
          <w:szCs w:val="24"/>
        </w:rPr>
        <w:t xml:space="preserve"> вводяться в дію</w:t>
        <w:br/>
        <w:t xml:space="preserve"> з 01.01.20</w:t>
      </w:r>
      <w:r>
        <w:rPr>
          <w:rFonts w:cs="Times New Roman" w:ascii="Times New Roman" w:hAnsi="Times New Roman"/>
          <w:b w:val="false"/>
          <w:sz w:val="24"/>
          <w:szCs w:val="24"/>
          <w:lang w:val="uk-UA"/>
        </w:rPr>
        <w:t>21</w:t>
      </w:r>
      <w:r>
        <w:rPr>
          <w:rFonts w:cs="Times New Roman" w:ascii="Times New Roman" w:hAnsi="Times New Roman"/>
          <w:b w:val="false"/>
          <w:sz w:val="24"/>
          <w:szCs w:val="24"/>
        </w:rPr>
        <w:t xml:space="preserve"> року на території </w:t>
      </w:r>
      <w:r>
        <w:rPr>
          <w:rFonts w:cs="Times New Roman" w:ascii="Times New Roman" w:hAnsi="Times New Roman"/>
          <w:b w:val="false"/>
          <w:sz w:val="24"/>
          <w:szCs w:val="24"/>
          <w:lang w:val="uk-UA"/>
        </w:rPr>
        <w:t>м.Луцька</w:t>
      </w:r>
      <w:r>
        <w:rPr>
          <w:rFonts w:cs="Times New Roman" w:ascii="Times New Roman" w:hAnsi="Times New Roman"/>
          <w:b w:val="false"/>
          <w:sz w:val="24"/>
          <w:szCs w:val="24"/>
        </w:rPr>
        <w:t>:</w:t>
      </w:r>
    </w:p>
    <w:p>
      <w:pPr>
        <w:pStyle w:val="Normal"/>
        <w:rPr>
          <w:rFonts w:ascii="Times New Roman" w:hAnsi="Times New Roman" w:cs="Times New Roman"/>
          <w:b/>
          <w:b/>
          <w:sz w:val="24"/>
          <w:szCs w:val="24"/>
          <w:lang w:val="uk-UA"/>
        </w:rPr>
      </w:pPr>
      <w:r>
        <w:rPr>
          <w:rFonts w:cs="Times New Roman"/>
          <w:b/>
          <w:sz w:val="24"/>
          <w:szCs w:val="24"/>
          <w:lang w:val="uk-UA"/>
        </w:rPr>
      </w:r>
    </w:p>
    <w:tbl>
      <w:tblPr>
        <w:tblW w:w="5000" w:type="pct"/>
        <w:jc w:val="left"/>
        <w:tblInd w:w="-113"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1994"/>
        <w:gridCol w:w="1505"/>
        <w:gridCol w:w="2000"/>
        <w:gridCol w:w="4568"/>
      </w:tblGrid>
      <w:tr>
        <w:trPr/>
        <w:tc>
          <w:tcPr>
            <w:tcW w:w="1994"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Код області</w:t>
            </w:r>
          </w:p>
        </w:tc>
        <w:tc>
          <w:tcPr>
            <w:tcW w:w="1505"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Код району</w:t>
            </w:r>
          </w:p>
        </w:tc>
        <w:tc>
          <w:tcPr>
            <w:tcW w:w="20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Код згідно з КОАТУУ</w:t>
            </w:r>
          </w:p>
        </w:tc>
        <w:tc>
          <w:tcPr>
            <w:tcW w:w="4568"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Найменування адміністративно-територіальної одиниці</w:t>
              <w:br/>
              <w:t>або населеного пункту, або території об’єднаної територіальної громади</w:t>
            </w:r>
          </w:p>
        </w:tc>
      </w:tr>
      <w:tr>
        <w:trPr/>
        <w:tc>
          <w:tcPr>
            <w:tcW w:w="1994"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0700000000</w:t>
            </w:r>
          </w:p>
        </w:tc>
        <w:tc>
          <w:tcPr>
            <w:tcW w:w="1505"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napToGrid w:val="false"/>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r>
          </w:p>
        </w:tc>
        <w:tc>
          <w:tcPr>
            <w:tcW w:w="20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0710100000</w:t>
            </w:r>
          </w:p>
        </w:tc>
        <w:tc>
          <w:tcPr>
            <w:tcW w:w="4568"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before="120" w:after="0"/>
              <w:ind w:firstLine="28"/>
              <w:jc w:val="center"/>
              <w:rPr>
                <w:rFonts w:ascii="Times New Roman" w:hAnsi="Times New Roman" w:cs="Times New Roman"/>
                <w:sz w:val="24"/>
                <w:szCs w:val="24"/>
              </w:rPr>
            </w:pPr>
            <w:r>
              <w:rPr>
                <w:rFonts w:cs="Times New Roman" w:ascii="Times New Roman" w:hAnsi="Times New Roman"/>
                <w:sz w:val="24"/>
                <w:szCs w:val="24"/>
              </w:rPr>
              <w:t>м.Луцьк</w:t>
            </w:r>
          </w:p>
        </w:tc>
      </w:tr>
    </w:tbl>
    <w:p>
      <w:pPr>
        <w:pStyle w:val="Style31"/>
        <w:jc w:val="both"/>
        <w:rPr>
          <w:rFonts w:ascii="Times New Roman" w:hAnsi="Times New Roman" w:cs="Times New Roman"/>
          <w:sz w:val="24"/>
          <w:szCs w:val="24"/>
          <w:lang w:val="ru-RU" w:eastAsia="uk-UA"/>
        </w:rPr>
      </w:pPr>
      <w:r>
        <w:rPr>
          <w:rFonts w:cs="Times New Roman" w:ascii="Times New Roman" w:hAnsi="Times New Roman"/>
          <w:sz w:val="24"/>
          <w:szCs w:val="24"/>
          <w:lang w:val="ru-RU" w:eastAsia="uk-UA"/>
        </w:rPr>
      </w:r>
    </w:p>
    <w:tbl>
      <w:tblPr>
        <w:tblW w:w="5050" w:type="pct"/>
        <w:jc w:val="left"/>
        <w:tblInd w:w="-33" w:type="dxa"/>
        <w:tblBorders>
          <w:top w:val="single" w:sz="4" w:space="0" w:color="000000"/>
          <w:left w:val="single" w:sz="4" w:space="0" w:color="000000"/>
          <w:bottom w:val="single" w:sz="4" w:space="0" w:color="000000"/>
          <w:insideH w:val="single" w:sz="4" w:space="0" w:color="000000"/>
        </w:tblBorders>
        <w:tblCellMar>
          <w:top w:w="0" w:type="dxa"/>
          <w:left w:w="23" w:type="dxa"/>
          <w:bottom w:w="0" w:type="dxa"/>
          <w:right w:w="28" w:type="dxa"/>
        </w:tblCellMar>
      </w:tblPr>
      <w:tblGrid>
        <w:gridCol w:w="794"/>
        <w:gridCol w:w="4359"/>
        <w:gridCol w:w="1361"/>
        <w:gridCol w:w="1081"/>
        <w:gridCol w:w="1361"/>
        <w:gridCol w:w="1211"/>
      </w:tblGrid>
      <w:tr>
        <w:trPr/>
        <w:tc>
          <w:tcPr>
            <w:tcW w:w="5153" w:type="dxa"/>
            <w:gridSpan w:val="2"/>
            <w:vMerge w:val="restart"/>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Вид цільового призначення земель</w:t>
            </w:r>
            <w:r>
              <w:rPr>
                <w:rFonts w:cs="Times New Roman" w:ascii="Times New Roman" w:hAnsi="Times New Roman"/>
                <w:sz w:val="24"/>
                <w:szCs w:val="24"/>
                <w:vertAlign w:val="superscript"/>
                <w:lang w:val="en-US" w:eastAsia="uk-UA"/>
              </w:rPr>
              <w:t>2</w:t>
            </w:r>
          </w:p>
        </w:tc>
        <w:tc>
          <w:tcPr>
            <w:tcW w:w="5014"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31"/>
              <w:spacing w:lineRule="auto" w:line="228" w:before="120" w:after="0"/>
              <w:ind w:left="-57" w:right="-57" w:hanging="0"/>
              <w:jc w:val="center"/>
              <w:rPr/>
            </w:pPr>
            <w:r>
              <w:rPr>
                <w:rFonts w:cs="Times New Roman" w:ascii="Times New Roman" w:hAnsi="Times New Roman"/>
                <w:sz w:val="24"/>
                <w:szCs w:val="24"/>
                <w:lang w:val="ru-RU" w:eastAsia="uk-UA"/>
              </w:rPr>
              <w:t>Ставки податку</w:t>
            </w:r>
            <w:r>
              <w:rPr>
                <w:rFonts w:cs="Times New Roman" w:ascii="Times New Roman" w:hAnsi="Times New Roman"/>
                <w:sz w:val="24"/>
                <w:szCs w:val="24"/>
                <w:vertAlign w:val="superscript"/>
                <w:lang w:val="ru-RU" w:eastAsia="uk-UA"/>
              </w:rPr>
              <w:t xml:space="preserve">3 </w:t>
            </w:r>
            <w:r>
              <w:rPr>
                <w:rFonts w:cs="Times New Roman" w:ascii="Times New Roman" w:hAnsi="Times New Roman"/>
                <w:sz w:val="24"/>
                <w:szCs w:val="24"/>
                <w:lang w:val="ru-RU" w:eastAsia="uk-UA"/>
              </w:rPr>
              <w:br/>
              <w:t>(відсотків нормативної грошової оцінки)</w:t>
            </w:r>
          </w:p>
        </w:tc>
      </w:tr>
      <w:tr>
        <w:trPr/>
        <w:tc>
          <w:tcPr>
            <w:tcW w:w="5153" w:type="dxa"/>
            <w:gridSpan w:val="2"/>
            <w:vMerge w:val="continue"/>
            <w:tcBorders>
              <w:top w:val="single" w:sz="4" w:space="0" w:color="000000"/>
              <w:left w:val="single" w:sz="4" w:space="0" w:color="000000"/>
              <w:bottom w:val="single" w:sz="4" w:space="0" w:color="000000"/>
              <w:insideH w:val="single" w:sz="4" w:space="0" w:color="000000"/>
            </w:tcBorders>
            <w:shd w:fill="auto" w:val="clear"/>
            <w:vAlign w:val="center"/>
          </w:tcPr>
          <w:p>
            <w:pPr>
              <w:pStyle w:val="Style31"/>
              <w:snapToGrid w:val="false"/>
              <w:spacing w:lineRule="auto" w:line="228" w:before="120" w:after="0"/>
              <w:ind w:left="-57" w:right="-57" w:hanging="0"/>
              <w:jc w:val="center"/>
              <w:rPr>
                <w:rFonts w:ascii="Times New Roman" w:hAnsi="Times New Roman" w:cs="Times New Roman"/>
                <w:sz w:val="24"/>
                <w:szCs w:val="24"/>
                <w:lang w:val="ru-RU" w:eastAsia="uk-UA"/>
              </w:rPr>
            </w:pPr>
            <w:r>
              <w:rPr>
                <w:rFonts w:cs="Times New Roman" w:ascii="Times New Roman" w:hAnsi="Times New Roman"/>
                <w:sz w:val="24"/>
                <w:szCs w:val="24"/>
                <w:lang w:val="ru-RU" w:eastAsia="uk-UA"/>
              </w:rPr>
            </w:r>
          </w:p>
        </w:tc>
        <w:tc>
          <w:tcPr>
            <w:tcW w:w="2442" w:type="dxa"/>
            <w:gridSpan w:val="2"/>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за земельні ділянки, нормативну грошову оцінку яких проведено (незалежно від місцезнаходження), що перебувають у власності</w:t>
            </w:r>
          </w:p>
        </w:tc>
        <w:tc>
          <w:tcPr>
            <w:tcW w:w="257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за земельні ділянки, нормативну грошову оцінку яких проведено (незалежно від місцезнаходження), що перебувають у постійному користуванні (крім державної та комунальної форми власності)</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код</w:t>
            </w:r>
            <w:r>
              <w:rPr>
                <w:rFonts w:cs="Times New Roman" w:ascii="Times New Roman" w:hAnsi="Times New Roman"/>
                <w:sz w:val="24"/>
                <w:szCs w:val="24"/>
                <w:vertAlign w:val="superscript"/>
                <w:lang w:val="en-US" w:eastAsia="uk-UA"/>
              </w:rPr>
              <w:t>2</w:t>
            </w:r>
          </w:p>
        </w:tc>
        <w:tc>
          <w:tcPr>
            <w:tcW w:w="43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найменування</w:t>
            </w:r>
            <w:r>
              <w:rPr>
                <w:rFonts w:cs="Times New Roman" w:ascii="Times New Roman" w:hAnsi="Times New Roman"/>
                <w:sz w:val="24"/>
                <w:szCs w:val="24"/>
                <w:vertAlign w:val="superscript"/>
                <w:lang w:val="en-US" w:eastAsia="uk-UA"/>
              </w:rPr>
              <w:t>2</w:t>
            </w:r>
          </w:p>
        </w:tc>
        <w:tc>
          <w:tcPr>
            <w:tcW w:w="13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юридичних осіб</w:t>
            </w:r>
          </w:p>
        </w:tc>
        <w:tc>
          <w:tcPr>
            <w:tcW w:w="1081"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фізичних осіб</w:t>
            </w:r>
          </w:p>
        </w:tc>
        <w:tc>
          <w:tcPr>
            <w:tcW w:w="13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юридичних осіб</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фізичних осіб</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 xml:space="preserve">Землі сільськогосподарського призначення </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ведення товарного сільськогосподарського виробництва</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ведення фермерського господарства</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ведення особистого селянського господарства</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ведення підсобного сільського господарства</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індивідуального садівництва</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колективного садівництва</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городництва</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сінокосіння і випасання худоби</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дослідних і навчальних цілей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пропаганди передового досвіду ведення сільського господарства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01.11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надання послуг у сільському господарстві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01.12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інфраструктури оптових ринків сільськогосподарської продукції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01.13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іншого сільськогосподарського призначення</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01.14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01.01-01.13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02</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uk-UA" w:eastAsia="uk-UA"/>
              </w:rPr>
            </w:pPr>
            <w:r>
              <w:rPr>
                <w:rFonts w:cs="Times New Roman" w:ascii="Times New Roman" w:hAnsi="Times New Roman"/>
                <w:b/>
                <w:sz w:val="24"/>
                <w:szCs w:val="24"/>
                <w:lang w:val="uk-UA" w:eastAsia="uk-UA"/>
              </w:rPr>
              <w:t>Землі житлової забудови</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і обслуговування житлового будинку, господарських будівель і споруд (присадибна ділянка)</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rPr>
                <w:sz w:val="24"/>
                <w:lang w:val="uk-UA"/>
              </w:rPr>
            </w:pPr>
            <w:r>
              <w:rPr>
                <w:sz w:val="24"/>
                <w:lang w:val="uk-UA"/>
              </w:rPr>
              <w:t>0,030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sz w:val="24"/>
                <w:lang w:val="uk-UA"/>
              </w:rPr>
            </w:pPr>
            <w:r>
              <w:rPr>
                <w:sz w:val="24"/>
                <w:lang w:val="uk-UA"/>
              </w:rPr>
              <w:t>0,090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колективного житлового будівництва</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0,100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і обслуговування багатоквартирного житлового будинку</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0,100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і обслуговування будівель тимчасового проживання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будівництва індивідуальних гаражів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колективного гаражного будівництва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0,300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0,300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іншої житлової забудови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02.08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02.01-02.07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sz w:val="24"/>
                <w:szCs w:val="24"/>
                <w:lang w:val="uk-UA" w:eastAsia="uk-UA"/>
              </w:rPr>
              <w:t>02.09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color w:val="000000"/>
                <w:sz w:val="24"/>
                <w:szCs w:val="24"/>
                <w:highlight w:val="white"/>
              </w:rPr>
              <w:t>Для будівництва і обслуговування паркінгів та автостоянок на землях житлової та громадської забудови</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5,000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5,000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sz w:val="24"/>
                <w:szCs w:val="24"/>
                <w:lang w:val="uk-UA" w:eastAsia="uk-UA"/>
              </w:rPr>
              <w:t>02.10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color w:val="000000"/>
                <w:sz w:val="24"/>
                <w:szCs w:val="24"/>
                <w:highlight w:val="white"/>
              </w:rPr>
            </w:pPr>
            <w:r>
              <w:rPr>
                <w:rFonts w:cs="Times New Roman" w:ascii="Times New Roman" w:hAnsi="Times New Roman"/>
                <w:color w:val="000000"/>
                <w:sz w:val="24"/>
                <w:szCs w:val="24"/>
                <w:highlight w:val="white"/>
              </w:rPr>
              <w:t>Для будівництва і обслуговування багатоквартирного житлового будинку з об’єктами торгово-розважальної та ринкової інфраструктури</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0,100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03</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uk-UA" w:eastAsia="uk-UA"/>
              </w:rPr>
            </w:pPr>
            <w:r>
              <w:rPr>
                <w:rFonts w:cs="Times New Roman" w:ascii="Times New Roman" w:hAnsi="Times New Roman"/>
                <w:b/>
                <w:sz w:val="24"/>
                <w:szCs w:val="24"/>
                <w:lang w:val="uk-UA" w:eastAsia="uk-UA"/>
              </w:rPr>
              <w:t>Землі громадської забудови</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будівель органів державної влади та місцевого самоврядування</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будівель закладів освіти</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будівель закладів охорони здоров’я та соціальної допомоги</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будівель громадських та релігійних організацій</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будівель закладів культурно-просвітницького обслуговування</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будівель екстериторіальних організацій та органів</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будівель торгівлі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4,000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4,000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об’єктів туристичної інфраструктури та закладів громадського харчування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4,000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4,000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будівель кредитно-фінансових установ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sz w:val="24"/>
                <w:lang w:val="uk-UA"/>
              </w:rPr>
              <w:t>10,000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будівель ринкової інфраструктури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будівель і споруд закладів науки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будівель закладів комунального обслуговування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будівель закладів побутового обслуговування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постійної діяльності органів ДСНС</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обслуговування інших будівель громадської забудови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03.16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цілей підрозділів 03.01-03.15 та для збереження та використання земель природно-заповідного фонду</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sz w:val="24"/>
                <w:szCs w:val="24"/>
                <w:lang w:val="uk-UA" w:eastAsia="uk-UA"/>
              </w:rPr>
              <w:t>03.17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color w:val="000000"/>
                <w:sz w:val="24"/>
                <w:szCs w:val="24"/>
                <w:highlight w:val="white"/>
              </w:rPr>
              <w:t>Для розміщення та експлуатації закладів з обслуговування відвідувачів об’єктів рекреаційного призначення</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Землі природно-заповідного фонду </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біосферних заповідників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збереження та використання природних заповідників</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збереження та використання національних природних парків</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збереження та використання ботанічних садів</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зоологічних парків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дендрологічних парків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pPr>
            <w:r>
              <w:rPr>
                <w:rFonts w:cs="Times New Roman" w:ascii="Times New Roman" w:hAnsi="Times New Roman"/>
                <w:sz w:val="24"/>
                <w:szCs w:val="24"/>
                <w:lang w:val="ru-RU" w:eastAsia="uk-UA"/>
              </w:rPr>
              <w:t>Для збереження та використання</w:t>
            </w:r>
            <w:r>
              <w:rPr>
                <w:rFonts w:cs="Times New Roman" w:ascii="Times New Roman" w:hAnsi="Times New Roman"/>
                <w:sz w:val="24"/>
                <w:szCs w:val="24"/>
                <w:lang w:val="uk-UA" w:eastAsia="uk-UA"/>
              </w:rPr>
              <w:t xml:space="preserve"> </w:t>
            </w:r>
            <w:r>
              <w:rPr>
                <w:rFonts w:cs="Times New Roman" w:ascii="Times New Roman" w:hAnsi="Times New Roman"/>
                <w:sz w:val="24"/>
                <w:szCs w:val="24"/>
                <w:lang w:val="ru-RU" w:eastAsia="uk-UA"/>
              </w:rPr>
              <w:t xml:space="preserve">парків - пам’яток садово-паркового мистецтва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заказників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заповідних урочищ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пам’яток природи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04.11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збереження та використання регіональних ландшафтних парків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rHeight w:val="473" w:hRule="atLeast"/>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05</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0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 xml:space="preserve">Землі іншого природоохоронного призначення </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06</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00" w:after="0"/>
              <w:ind w:left="57" w:right="-57" w:hanging="0"/>
              <w:jc w:val="center"/>
              <w:rPr>
                <w:rFonts w:ascii="Times New Roman" w:hAnsi="Times New Roman" w:cs="Times New Roman"/>
                <w:b/>
                <w:b/>
                <w:sz w:val="24"/>
                <w:szCs w:val="24"/>
                <w:lang w:val="ru-RU" w:eastAsia="uk-UA"/>
              </w:rPr>
            </w:pPr>
            <w:r>
              <w:rPr>
                <w:rFonts w:cs="Times New Roman" w:ascii="Times New Roman" w:hAnsi="Times New Roman"/>
                <w:b/>
                <w:sz w:val="24"/>
                <w:szCs w:val="24"/>
                <w:lang w:val="ru-RU" w:eastAsia="uk-UA"/>
              </w:rPr>
              <w:t xml:space="preserve">Землі оздоровчого призначення (землі, що мають природні лікувальні властивості, які використовуються або можуть використовуватися </w:t>
              <w:br/>
              <w:t>для профілактики захворювань і лікування людей)</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06.01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і обслуговування санаторно-оздоровчих закладів</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06.02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розробки родовищ природних лікувальних ресурсів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06.03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інших оздоровчих цілей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06.04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06.01-06.03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07</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рекреаційного призначення</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07.01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об’єктів рекреаційного призначення</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07.02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будівництва та обслуговування об’єктів фізичної культури і спорту</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07.03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індивідуального дачного будівництва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07.04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колективного дачного будівництва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07.05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07.01-07.04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08</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0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 xml:space="preserve">Землі історико-культурного призначення </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08.01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забезпечення охорони об’єктів культурної спадщини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rHeight w:val="637" w:hRule="atLeast"/>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08.02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обслуговування музейних закладів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08.03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іншого історико-культурного призначення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08.04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08.01-08.03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09</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лісогосподарського призначення</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09.01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ведення лісового господарства і пов’язаних з ним послуг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09.02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іншого лісогосподарського призначення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09.03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09.01-09.02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10</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водного фонду</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експлуатації та догляду за водними об’єктами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облаштування та догляду за прибережними захисними смугами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експлуатації та догляду за смугами відведення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експлуатації та догляду за гідротехнічними, іншими водогосподарськими спорудами і каналами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догляду за береговими смугами водних шляхів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сінокосіння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рибогосподарських потреб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культурно-оздоровчих потреб, рекреаційних, спортивних і туристичних цілей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проведення науково-дослідних робіт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будівництва та експлуатації гідротехнічних, гідрометричних та лінійних споруд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10.11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10.12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10.01-10.11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11</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0" w:before="10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промисловості</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11.01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1,500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11.02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1,500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11.03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0" w:before="10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та експлуатації основних, підсобних і допоміжних будівель та споруд будівельних організацій та підприємств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1,500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11.04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1,500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11.05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11.01-11.04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sz w:val="24"/>
                <w:lang w:val="uk-UA"/>
              </w:rPr>
              <w:t>1,500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2,000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12</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транспорту</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експлуатації будівель і споруд залізничного транспорту</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будівель і споруд морського транспорту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будівель і споруд річкового транспорту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експлуатації будівель і споруд автомобільного транспорту та дорожнього господарства</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будівель і споруд авіаційного транспорту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об’єктів трубопровідного транспорту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будівель і споруд міського електротранспорту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rHeight w:val="732" w:hRule="atLeast"/>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будівель і споруд додаткових транспортних послуг та допоміжних операцій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будівель і споруд іншого наземного транспорту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12.10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12.01-12.09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3,000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sz w:val="24"/>
                <w:szCs w:val="24"/>
                <w:lang w:val="uk-UA" w:eastAsia="uk-UA"/>
              </w:rPr>
              <w:t>12.11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color w:val="000000"/>
                <w:sz w:val="24"/>
                <w:szCs w:val="24"/>
                <w:highlight w:val="white"/>
              </w:rPr>
              <w:t>Для розміщення та експлуатації об'єктів дорожнього сервісу</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10,000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13</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зв’язку</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13.01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та експлуатації об’єктів і споруд телекомунікацій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13.02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та експлуатації будівель та споруд об’єктів поштового зв’язку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13.03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розміщення та експлуатації інших технічних засобів зв’язку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13.04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цілей підрозділів 13.01-13.03, 13.05 та для збереження та використання земель природно-заповідного фонду</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sz w:val="24"/>
                <w:szCs w:val="24"/>
                <w:lang w:val="uk-UA" w:eastAsia="uk-UA"/>
              </w:rPr>
              <w:t>13.05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color w:val="000000"/>
                <w:sz w:val="24"/>
                <w:szCs w:val="24"/>
                <w:highlight w:val="white"/>
              </w:rPr>
              <w:t>Для розміщення та постійної діяльності Державної служби спеціального зв’язку та захисту інформації України</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14</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енергетики</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14.01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14.02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Для розміщення, будівництва, експлуатації та обслуговування будівель і споруд об’єктів передачі електричної та теплової енергії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14.03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14.01-14.02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3,000</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6,000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6,000</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15</w:t>
            </w:r>
          </w:p>
        </w:tc>
        <w:tc>
          <w:tcPr>
            <w:tcW w:w="9373" w:type="dxa"/>
            <w:gridSpan w:val="5"/>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yle31"/>
              <w:spacing w:lineRule="auto" w:line="228" w:before="120" w:after="0"/>
              <w:ind w:left="57" w:right="-57" w:hanging="0"/>
              <w:jc w:val="center"/>
              <w:rPr>
                <w:rFonts w:ascii="Times New Roman" w:hAnsi="Times New Roman" w:cs="Times New Roman"/>
                <w:b/>
                <w:b/>
                <w:sz w:val="24"/>
                <w:szCs w:val="24"/>
                <w:lang w:val="en-US" w:eastAsia="uk-UA"/>
              </w:rPr>
            </w:pPr>
            <w:r>
              <w:rPr>
                <w:rFonts w:cs="Times New Roman" w:ascii="Times New Roman" w:hAnsi="Times New Roman"/>
                <w:b/>
                <w:sz w:val="24"/>
                <w:szCs w:val="24"/>
                <w:lang w:val="en-US" w:eastAsia="uk-UA"/>
              </w:rPr>
              <w:t>Землі оборони</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15.01</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постійної діяльності Збройних Сил</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15.02</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розміщення та постійної діяльності військових частин (підрозділів) Національної гвардії</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15.03</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постійної діяльності Держприкордонслужби</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15.04</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постійної діяльності СБУ</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15.05</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постійної діяльності Держспецтрансслужби</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Для розміщення та постійної діяльності Служби зовнішньої розвідки</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розміщення та постійної діяльності інших, утворених відповідно до законів, військових формувань</w:t>
            </w:r>
            <w:r>
              <w:rPr>
                <w:rFonts w:cs="Times New Roman" w:ascii="Times New Roman" w:hAnsi="Times New Roman"/>
                <w:sz w:val="24"/>
                <w:szCs w:val="24"/>
                <w:vertAlign w:val="superscript"/>
                <w:lang w:val="ru-RU"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15.08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Для цілей підрозділів 15.01-15.07 та для збереження та використання земель природно-заповідного фонду</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uk-UA" w:eastAsia="uk-UA"/>
              </w:rPr>
            </w:pPr>
            <w:r>
              <w:rPr>
                <w:rFonts w:cs="Times New Roman" w:ascii="Times New Roman" w:hAnsi="Times New Roman"/>
                <w:sz w:val="24"/>
                <w:szCs w:val="24"/>
                <w:lang w:val="uk-UA" w:eastAsia="uk-UA"/>
              </w:rPr>
              <w:t>15.09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color w:val="000000"/>
                <w:sz w:val="24"/>
                <w:szCs w:val="24"/>
                <w:highlight w:val="white"/>
              </w:rPr>
              <w:t>Для розміщення структурних підрозділів апарату МВС, територіальних органів, закладів, установ і підприємств, що належать до сфери управління МВС</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15.10</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color w:val="000000"/>
                <w:sz w:val="24"/>
                <w:szCs w:val="24"/>
                <w:highlight w:val="white"/>
              </w:rPr>
              <w:t>Для розміщення та постійної діяльності Національної поліції України, її територіальних органів, підприємств, установ та організацій, що належать до сфери управління Національної поліції</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16</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Землі запасу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17</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 xml:space="preserve">Землі резервного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18</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Землі загального користування</w:t>
            </w:r>
            <w:r>
              <w:rPr>
                <w:rFonts w:cs="Times New Roman" w:ascii="Times New Roman" w:hAnsi="Times New Roman"/>
                <w:sz w:val="24"/>
                <w:szCs w:val="24"/>
                <w:vertAlign w:val="superscript"/>
                <w:lang w:val="en-US" w:eastAsia="uk-UA"/>
              </w:rPr>
              <w:t>4</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r>
        <w:trPr/>
        <w:tc>
          <w:tcPr>
            <w:tcW w:w="794"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en-US" w:eastAsia="uk-UA"/>
              </w:rPr>
            </w:pPr>
            <w:r>
              <w:rPr>
                <w:rFonts w:cs="Times New Roman" w:ascii="Times New Roman" w:hAnsi="Times New Roman"/>
                <w:sz w:val="24"/>
                <w:szCs w:val="24"/>
                <w:lang w:val="en-US" w:eastAsia="uk-UA"/>
              </w:rPr>
              <w:t>19</w:t>
            </w:r>
          </w:p>
        </w:tc>
        <w:tc>
          <w:tcPr>
            <w:tcW w:w="4359" w:type="dxa"/>
            <w:tcBorders>
              <w:top w:val="single" w:sz="4" w:space="0" w:color="000000"/>
              <w:left w:val="single" w:sz="4" w:space="0" w:color="000000"/>
              <w:bottom w:val="single" w:sz="4" w:space="0" w:color="000000"/>
              <w:insideH w:val="single" w:sz="4" w:space="0" w:color="000000"/>
            </w:tcBorders>
            <w:shd w:fill="auto" w:val="clear"/>
          </w:tcPr>
          <w:p>
            <w:pPr>
              <w:pStyle w:val="Style31"/>
              <w:spacing w:lineRule="auto" w:line="228" w:before="120" w:after="0"/>
              <w:ind w:left="57" w:right="-57" w:hanging="0"/>
              <w:rPr>
                <w:rFonts w:ascii="Times New Roman" w:hAnsi="Times New Roman" w:cs="Times New Roman"/>
                <w:sz w:val="24"/>
                <w:szCs w:val="24"/>
                <w:lang w:val="ru-RU" w:eastAsia="uk-UA"/>
              </w:rPr>
            </w:pPr>
            <w:r>
              <w:rPr>
                <w:rFonts w:cs="Times New Roman" w:ascii="Times New Roman" w:hAnsi="Times New Roman"/>
                <w:sz w:val="24"/>
                <w:szCs w:val="24"/>
                <w:lang w:val="ru-RU" w:eastAsia="uk-UA"/>
              </w:rPr>
              <w:t xml:space="preserve">Для цілей підрозділів 16-18 та для збереження та використання земель природно-заповідного фонду </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08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х</w:t>
            </w:r>
          </w:p>
        </w:tc>
        <w:tc>
          <w:tcPr>
            <w:tcW w:w="1361"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sz w:val="24"/>
                <w:lang w:val="uk-UA"/>
              </w:rPr>
            </w:pPr>
            <w:r>
              <w:rPr>
                <w:sz w:val="24"/>
                <w:lang w:val="uk-UA"/>
              </w:rPr>
              <w:t>1,000</w:t>
            </w:r>
          </w:p>
        </w:tc>
        <w:tc>
          <w:tcPr>
            <w:tcW w:w="12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sz w:val="24"/>
                <w:lang w:val="uk-UA"/>
              </w:rPr>
            </w:pPr>
            <w:r>
              <w:rPr>
                <w:sz w:val="24"/>
                <w:lang w:val="uk-UA"/>
              </w:rPr>
              <w:t>х</w:t>
            </w:r>
          </w:p>
        </w:tc>
      </w:tr>
    </w:tbl>
    <w:p>
      <w:pPr>
        <w:pStyle w:val="Normal"/>
        <w:ind w:left="-142" w:right="4" w:hanging="0"/>
        <w:jc w:val="both"/>
        <w:rPr/>
      </w:pPr>
      <w:r>
        <w:rPr>
          <w:b/>
          <w:sz w:val="24"/>
          <w:lang w:val="uk-UA"/>
        </w:rPr>
        <w:tab/>
        <w:tab/>
      </w:r>
      <w:r>
        <w:rPr>
          <w:sz w:val="16"/>
          <w:szCs w:val="16"/>
          <w:lang w:val="uk-UA"/>
        </w:rPr>
        <w:t xml:space="preserve"> </w:t>
      </w:r>
    </w:p>
    <w:p>
      <w:pPr>
        <w:pStyle w:val="Normal"/>
        <w:ind w:left="-142" w:right="4" w:hanging="0"/>
        <w:jc w:val="both"/>
        <w:rPr/>
      </w:pPr>
      <w:r>
        <w:rPr>
          <w:sz w:val="16"/>
          <w:szCs w:val="16"/>
          <w:lang w:val="uk-UA"/>
        </w:rPr>
        <w:tab/>
        <w:tab/>
        <w:t>Для підприємств, установ та організацій комунальної та державної форми власності, застосовується ставка податку у розмірі 1,000 відсотка від нормативної грошової оцінки землі, незалежно від видів цільового призначення земельної ділянки.</w:t>
      </w:r>
    </w:p>
    <w:p>
      <w:pPr>
        <w:pStyle w:val="Normal"/>
        <w:tabs>
          <w:tab w:val="left" w:pos="9072" w:leader="none"/>
        </w:tabs>
        <w:ind w:left="-142" w:hanging="0"/>
        <w:jc w:val="both"/>
        <w:rPr>
          <w:sz w:val="16"/>
          <w:szCs w:val="16"/>
          <w:lang w:val="uk-UA"/>
        </w:rPr>
      </w:pPr>
      <w:r>
        <w:rPr>
          <w:sz w:val="16"/>
          <w:szCs w:val="16"/>
          <w:lang w:val="uk-UA"/>
        </w:rPr>
        <w:t xml:space="preserve">                   </w:t>
      </w:r>
      <w:r>
        <w:rPr>
          <w:sz w:val="16"/>
          <w:szCs w:val="16"/>
          <w:lang w:val="uk-UA"/>
        </w:rPr>
        <w:t>Для власників вбудовано-прибудованих нежитлових приміщень, розташованих в житлових будинках, які використовують дані приміщення для ведення підприємницької діяльності, застосовується ставка податку у розмірі 3,000 відсотків від нормативної грошової оцінки землі.</w:t>
      </w:r>
    </w:p>
    <w:p>
      <w:pPr>
        <w:pStyle w:val="Normal"/>
        <w:ind w:left="-142" w:hanging="0"/>
        <w:jc w:val="both"/>
        <w:rPr>
          <w:sz w:val="16"/>
          <w:szCs w:val="16"/>
          <w:lang w:val="uk-UA"/>
        </w:rPr>
      </w:pPr>
      <w:r>
        <w:rPr>
          <w:sz w:val="16"/>
          <w:szCs w:val="16"/>
          <w:lang w:val="uk-UA"/>
        </w:rPr>
        <w:tab/>
        <w:tab/>
      </w:r>
      <w:r>
        <w:rPr>
          <w:sz w:val="16"/>
          <w:szCs w:val="16"/>
          <w:vertAlign w:val="superscript"/>
          <w:lang w:val="uk-UA" w:eastAsia="uk-UA"/>
        </w:rPr>
        <w:t>1</w:t>
      </w:r>
      <w:r>
        <w:rPr>
          <w:sz w:val="16"/>
          <w:szCs w:val="16"/>
          <w:lang w:val="uk-UA" w:eastAsia="uk-UA"/>
        </w:rPr>
        <w:t xml:space="preserve"> У разі встановлення ставок податку, відмінних на територіях різних населених пунктів адміністративно-територіальної одиниці, за кожним населеним пунктом ставки затверджуються  окремими додатками.</w:t>
      </w:r>
    </w:p>
    <w:p>
      <w:pPr>
        <w:pStyle w:val="Style31"/>
        <w:jc w:val="both"/>
        <w:rPr/>
      </w:pPr>
      <w:r>
        <w:rPr>
          <w:rFonts w:cs="Times New Roman" w:ascii="Times New Roman" w:hAnsi="Times New Roman"/>
          <w:sz w:val="16"/>
          <w:szCs w:val="16"/>
          <w:vertAlign w:val="superscript"/>
          <w:lang w:val="ru-RU" w:eastAsia="uk-UA"/>
        </w:rPr>
        <w:t>2</w:t>
      </w:r>
      <w:r>
        <w:rPr>
          <w:rFonts w:cs="Times New Roman" w:ascii="Times New Roman" w:hAnsi="Times New Roman"/>
          <w:sz w:val="16"/>
          <w:szCs w:val="16"/>
          <w:lang w:val="ru-RU" w:eastAsia="uk-UA"/>
        </w:rPr>
        <w:t xml:space="preserve"> Вид цільового призначення земель зазначається згідно з Класифікацією видів цільового призначення земель, затвердженою наказом Держкомзему від 23 липня 2010 р. № 548.</w:t>
      </w:r>
    </w:p>
    <w:p>
      <w:pPr>
        <w:pStyle w:val="Style31"/>
        <w:jc w:val="both"/>
        <w:rPr/>
      </w:pPr>
      <w:r>
        <w:rPr>
          <w:rFonts w:cs="Times New Roman" w:ascii="Times New Roman" w:hAnsi="Times New Roman"/>
          <w:sz w:val="16"/>
          <w:szCs w:val="16"/>
          <w:vertAlign w:val="superscript"/>
          <w:lang w:val="ru-RU" w:eastAsia="uk-UA"/>
        </w:rPr>
        <w:t>3</w:t>
      </w:r>
      <w:r>
        <w:rPr>
          <w:rFonts w:cs="Times New Roman" w:ascii="Times New Roman" w:hAnsi="Times New Roman"/>
          <w:sz w:val="16"/>
          <w:szCs w:val="16"/>
          <w:lang w:val="ru-RU" w:eastAsia="uk-UA"/>
        </w:rPr>
        <w:t xml:space="preserve"> Ставки податку встановлюються з урахуванням норм підпункту 12.3.7 пункту 12.3 статті 12, пункту 30.2 статті 30, статей 274 і 277 Податкового кодексу України і зазначаються десятковим дробом з трьома (у разі потреби чотирма) десятковими знаками після коми. </w:t>
      </w:r>
    </w:p>
    <w:p>
      <w:pPr>
        <w:pStyle w:val="Style31"/>
        <w:jc w:val="both"/>
        <w:rPr/>
      </w:pPr>
      <w:r>
        <w:rPr>
          <w:rFonts w:cs="Times New Roman" w:ascii="Times New Roman" w:hAnsi="Times New Roman"/>
          <w:sz w:val="16"/>
          <w:szCs w:val="16"/>
          <w:vertAlign w:val="superscript"/>
          <w:lang w:val="ru-RU" w:eastAsia="uk-UA"/>
        </w:rPr>
        <w:t>4</w:t>
      </w:r>
      <w:r>
        <w:rPr>
          <w:rFonts w:cs="Times New Roman" w:ascii="Times New Roman" w:hAnsi="Times New Roman"/>
          <w:sz w:val="16"/>
          <w:szCs w:val="16"/>
          <w:lang w:val="ru-RU" w:eastAsia="uk-UA"/>
        </w:rPr>
        <w:t xml:space="preserve"> Земельні ділянки, що класифікуються за кодами цього підрозділу, звільняються/можуть звільнятися повністю або частково від оподаткування земельним податком відповідно до норм статей 281-283 Податкового кодексу України.</w:t>
      </w:r>
    </w:p>
    <w:p>
      <w:pPr>
        <w:pStyle w:val="Normal"/>
        <w:jc w:val="both"/>
        <w:rPr>
          <w:rFonts w:ascii="Times New Roman" w:hAnsi="Times New Roman" w:cs="Times New Roman"/>
          <w:sz w:val="24"/>
          <w:szCs w:val="16"/>
          <w:lang w:val="uk-UA" w:eastAsia="uk-UA"/>
        </w:rPr>
      </w:pPr>
      <w:r>
        <w:rPr>
          <w:rFonts w:cs="Times New Roman"/>
          <w:sz w:val="24"/>
          <w:szCs w:val="16"/>
          <w:lang w:val="uk-UA" w:eastAsia="uk-UA"/>
        </w:rPr>
      </w:r>
    </w:p>
    <w:p>
      <w:pPr>
        <w:pStyle w:val="Normal"/>
        <w:tabs>
          <w:tab w:val="left" w:pos="700" w:leader="none"/>
        </w:tabs>
        <w:jc w:val="both"/>
        <w:rPr>
          <w:b/>
          <w:b/>
          <w:sz w:val="24"/>
          <w:lang w:val="uk-UA"/>
        </w:rPr>
      </w:pPr>
      <w:r>
        <w:rPr>
          <w:b/>
          <w:sz w:val="24"/>
          <w:lang w:val="uk-UA"/>
        </w:rPr>
      </w:r>
    </w:p>
    <w:p>
      <w:pPr>
        <w:pStyle w:val="Normal"/>
        <w:tabs>
          <w:tab w:val="left" w:pos="700" w:leader="none"/>
        </w:tabs>
        <w:jc w:val="both"/>
        <w:rPr>
          <w:szCs w:val="28"/>
          <w:lang w:val="uk-UA"/>
        </w:rPr>
      </w:pPr>
      <w:r>
        <w:rPr>
          <w:szCs w:val="28"/>
        </w:rPr>
        <w:t xml:space="preserve">Секретар міської ради </w:t>
        <w:tab/>
        <w:tab/>
        <w:tab/>
        <w:tab/>
      </w:r>
      <w:r>
        <w:rPr>
          <w:szCs w:val="28"/>
          <w:lang w:val="uk-UA"/>
        </w:rPr>
        <w:t xml:space="preserve">                      </w:t>
      </w:r>
      <w:r>
        <w:rPr>
          <w:szCs w:val="28"/>
        </w:rPr>
        <w:tab/>
      </w:r>
      <w:r>
        <w:rPr>
          <w:szCs w:val="28"/>
          <w:lang w:val="uk-UA"/>
        </w:rPr>
        <w:t>Григорій ПУСТОВІТ</w:t>
      </w:r>
    </w:p>
    <w:p>
      <w:pPr>
        <w:pStyle w:val="Normal"/>
        <w:tabs>
          <w:tab w:val="left" w:pos="700" w:leader="none"/>
        </w:tabs>
        <w:jc w:val="both"/>
        <w:rPr>
          <w:sz w:val="24"/>
          <w:szCs w:val="28"/>
          <w:lang w:val="uk-UA"/>
        </w:rPr>
      </w:pPr>
      <w:r>
        <w:rPr>
          <w:sz w:val="24"/>
          <w:szCs w:val="28"/>
          <w:lang w:val="uk-UA"/>
        </w:rPr>
      </w:r>
    </w:p>
    <w:p>
      <w:pPr>
        <w:pStyle w:val="Style31"/>
        <w:ind w:hanging="0"/>
        <w:jc w:val="both"/>
        <w:rPr>
          <w:rFonts w:ascii="Times New Roman" w:hAnsi="Times New Roman" w:cs="Times New Roman"/>
          <w:sz w:val="24"/>
          <w:szCs w:val="24"/>
          <w:lang w:val="uk-UA" w:eastAsia="uk-UA"/>
        </w:rPr>
      </w:pPr>
      <w:r>
        <w:rPr>
          <w:rFonts w:cs="Times New Roman" w:ascii="Times New Roman" w:hAnsi="Times New Roman"/>
          <w:sz w:val="24"/>
          <w:szCs w:val="24"/>
          <w:lang w:val="uk-UA" w:eastAsia="uk-UA"/>
        </w:rPr>
        <w:t>Єлова 720 614</w:t>
      </w:r>
    </w:p>
    <w:sectPr>
      <w:type w:val="nextPage"/>
      <w:pgSz w:w="11906" w:h="16838"/>
      <w:pgMar w:left="1272" w:right="567" w:header="0" w:top="360" w:footer="0" w:bottom="719"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Wingdings">
    <w:charset w:val="02"/>
    <w:family w:val="auto"/>
    <w:pitch w:val="variable"/>
  </w:font>
  <w:font w:name="Cambria">
    <w:charset w:val="cc"/>
    <w:family w:val="roman"/>
    <w:pitch w:val="variable"/>
  </w:font>
  <w:font w:name="Tahoma">
    <w:charset w:val="cc"/>
    <w:family w:val="swiss"/>
    <w:pitch w:val="variable"/>
  </w:font>
  <w:font w:name="Verdana">
    <w:charset w:val="cc"/>
    <w:family w:val="swiss"/>
    <w:pitch w:val="variable"/>
  </w:font>
  <w:font w:name="Antiqua">
    <w:altName w:val="Corbel"/>
    <w:charset w:val="00"/>
    <w:family w:val="swiss"/>
    <w:pitch w:val="variable"/>
  </w:font>
  <w:font w:name="Calibri">
    <w:charset w:val="cc"/>
    <w:family w:val="swiss"/>
    <w:pitch w:val="variable"/>
  </w:font>
  <w:font w:name="Myriad Pro">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pStyle w:val="2"/>
      <w:numFmt w:val="none"/>
      <w:suff w:val="nothing"/>
      <w:lvlText w:val=""/>
      <w:lvlJc w:val="left"/>
      <w:pPr>
        <w:ind w:left="0" w:hanging="0"/>
      </w:pPr>
    </w:lvl>
    <w:lvl w:ilvl="2">
      <w:start w:val="1"/>
      <w:pStyle w:val="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uk-UA"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8"/>
      <w:szCs w:val="24"/>
      <w:lang w:val="ru-RU" w:bidi="ar-SA" w:eastAsia="zh-CN"/>
    </w:rPr>
  </w:style>
  <w:style w:type="paragraph" w:styleId="1">
    <w:name w:val="Heading 1"/>
    <w:basedOn w:val="Normal"/>
    <w:next w:val="Normal"/>
    <w:qFormat/>
    <w:pPr>
      <w:keepNext w:val="true"/>
      <w:widowControl w:val="false"/>
      <w:numPr>
        <w:ilvl w:val="0"/>
        <w:numId w:val="1"/>
      </w:numPr>
      <w:autoSpaceDE w:val="false"/>
      <w:spacing w:before="240" w:after="60"/>
      <w:outlineLvl w:val="0"/>
    </w:pPr>
    <w:rPr>
      <w:rFonts w:ascii="Arial" w:hAnsi="Arial" w:cs="Arial"/>
      <w:b/>
      <w:bCs/>
      <w:kern w:val="2"/>
      <w:sz w:val="32"/>
      <w:szCs w:val="32"/>
    </w:rPr>
  </w:style>
  <w:style w:type="paragraph" w:styleId="2">
    <w:name w:val="Heading 2"/>
    <w:basedOn w:val="Normal"/>
    <w:next w:val="Normal"/>
    <w:qFormat/>
    <w:pPr>
      <w:keepNext w:val="true"/>
      <w:numPr>
        <w:ilvl w:val="1"/>
        <w:numId w:val="1"/>
      </w:numPr>
      <w:spacing w:before="240" w:after="60"/>
      <w:outlineLvl w:val="1"/>
    </w:pPr>
    <w:rPr>
      <w:rFonts w:ascii="Arial" w:hAnsi="Arial" w:cs="Arial"/>
      <w:b/>
      <w:bCs/>
      <w:i/>
      <w:iCs/>
      <w:szCs w:val="28"/>
      <w:lang w:val="uk-UA"/>
    </w:rPr>
  </w:style>
  <w:style w:type="paragraph" w:styleId="3">
    <w:name w:val="Heading 3"/>
    <w:basedOn w:val="Normal"/>
    <w:next w:val="Normal"/>
    <w:qFormat/>
    <w:pPr>
      <w:keepNext w:val="true"/>
      <w:widowControl w:val="false"/>
      <w:numPr>
        <w:ilvl w:val="2"/>
        <w:numId w:val="1"/>
      </w:numPr>
      <w:autoSpaceDE w:val="false"/>
      <w:spacing w:before="240" w:after="60"/>
      <w:outlineLvl w:val="2"/>
    </w:pPr>
    <w:rPr>
      <w:rFonts w:ascii="Arial" w:hAnsi="Arial" w:cs="Arial"/>
      <w:b/>
      <w:bCs/>
      <w:sz w:val="26"/>
      <w:szCs w:val="26"/>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Times New Roman" w:hAnsi="Times New Roman" w:eastAsia="Times New Roman" w:cs="Times New Roman"/>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b w:val="false"/>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b w:val="false"/>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b w:val="false"/>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sz w:val="20"/>
    </w:rPr>
  </w:style>
  <w:style w:type="character" w:styleId="WW8Num12z1">
    <w:name w:val="WW8Num12z1"/>
    <w:qFormat/>
    <w:rPr>
      <w:rFonts w:ascii="Courier New" w:hAnsi="Courier New" w:cs="Courier New"/>
      <w:sz w:val="20"/>
    </w:rPr>
  </w:style>
  <w:style w:type="character" w:styleId="WW8Num12z2">
    <w:name w:val="WW8Num12z2"/>
    <w:qFormat/>
    <w:rPr>
      <w:rFonts w:ascii="Wingdings" w:hAnsi="Wingdings" w:cs="Wingdings"/>
      <w:sz w:val="20"/>
    </w:rPr>
  </w:style>
  <w:style w:type="character" w:styleId="WW8Num13z0">
    <w:name w:val="WW8Num13z0"/>
    <w:qFormat/>
    <w:rPr>
      <w:b w:val="false"/>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b/>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b w:val="false"/>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b w:val="false"/>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b/>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b w:val="false"/>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b w:val="false"/>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z w:val="24"/>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b/>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b w:val="false"/>
      <w:lang w:val="uk-UA"/>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Style11">
    <w:name w:val="Основной шрифт абзаца"/>
    <w:qFormat/>
    <w:rPr/>
  </w:style>
  <w:style w:type="character" w:styleId="Style12">
    <w:name w:val="Верхний колонтитул Знак"/>
    <w:qFormat/>
    <w:rPr>
      <w:sz w:val="28"/>
      <w:szCs w:val="24"/>
      <w:lang w:val="uk-UA" w:bidi="ar-SA"/>
    </w:rPr>
  </w:style>
  <w:style w:type="character" w:styleId="Style13">
    <w:name w:val=" Знак Знак Знак"/>
    <w:qFormat/>
    <w:rPr>
      <w:lang w:val="uk-UA" w:bidi="ar-SA"/>
    </w:rPr>
  </w:style>
  <w:style w:type="character" w:styleId="Style14">
    <w:name w:val="Знак Знак Знак"/>
    <w:qFormat/>
    <w:rPr>
      <w:sz w:val="28"/>
      <w:szCs w:val="24"/>
      <w:lang w:val="uk-UA" w:bidi="ar-SA"/>
    </w:rPr>
  </w:style>
  <w:style w:type="character" w:styleId="11">
    <w:name w:val="Основной текст с отступом Знак1"/>
    <w:qFormat/>
    <w:rPr>
      <w:sz w:val="28"/>
      <w:szCs w:val="24"/>
      <w:lang w:val="ru-RU" w:bidi="ar-SA"/>
    </w:rPr>
  </w:style>
  <w:style w:type="character" w:styleId="Style15">
    <w:name w:val="Выделение жирным"/>
    <w:qFormat/>
    <w:rPr>
      <w:b/>
      <w:bCs/>
    </w:rPr>
  </w:style>
  <w:style w:type="character" w:styleId="Style16">
    <w:name w:val="Выделение"/>
    <w:qFormat/>
    <w:rPr>
      <w:i/>
      <w:iCs/>
    </w:rPr>
  </w:style>
  <w:style w:type="character" w:styleId="Style17">
    <w:name w:val="Основной текст с отступом Знак"/>
    <w:qFormat/>
    <w:rPr>
      <w:sz w:val="28"/>
      <w:szCs w:val="24"/>
      <w:lang w:val="ru-RU" w:bidi="ar-SA"/>
    </w:rPr>
  </w:style>
  <w:style w:type="character" w:styleId="Rvts82">
    <w:name w:val="rvts82"/>
    <w:basedOn w:val="Style11"/>
    <w:qFormat/>
    <w:rPr/>
  </w:style>
  <w:style w:type="character" w:styleId="12">
    <w:name w:val="Заголовок 1 Знак"/>
    <w:qFormat/>
    <w:rPr>
      <w:rFonts w:ascii="Arial" w:hAnsi="Arial" w:cs="Arial"/>
      <w:b/>
      <w:bCs/>
      <w:kern w:val="2"/>
      <w:sz w:val="32"/>
      <w:szCs w:val="32"/>
      <w:lang w:val="ru-RU" w:bidi="ar-SA"/>
    </w:rPr>
  </w:style>
  <w:style w:type="character" w:styleId="13">
    <w:name w:val="Знак Знак1"/>
    <w:qFormat/>
    <w:rPr>
      <w:rFonts w:cs="Times New Roman"/>
      <w:sz w:val="24"/>
      <w:szCs w:val="24"/>
      <w:lang w:val="ru-RU"/>
    </w:rPr>
  </w:style>
  <w:style w:type="character" w:styleId="Style18">
    <w:name w:val="Интернет-ссылка"/>
    <w:rPr>
      <w:color w:val="0000FF"/>
      <w:u w:val="single"/>
    </w:rPr>
  </w:style>
  <w:style w:type="character" w:styleId="Rvts11">
    <w:name w:val="rvts11"/>
    <w:qFormat/>
    <w:rPr/>
  </w:style>
  <w:style w:type="character" w:styleId="Style19">
    <w:name w:val="Название Знак"/>
    <w:qFormat/>
    <w:rPr>
      <w:rFonts w:ascii="Cambria" w:hAnsi="Cambria" w:eastAsia="Times New Roman" w:cs="Times New Roman"/>
      <w:b/>
      <w:bCs/>
      <w:kern w:val="2"/>
      <w:sz w:val="32"/>
      <w:szCs w:val="32"/>
      <w:lang w:val="ru-RU"/>
    </w:rPr>
  </w:style>
  <w:style w:type="character" w:styleId="Style20">
    <w:name w:val="Текст выноски Знак"/>
    <w:qFormat/>
    <w:rPr>
      <w:rFonts w:ascii="Tahoma" w:hAnsi="Tahoma" w:cs="Tahoma"/>
      <w:sz w:val="16"/>
      <w:szCs w:val="16"/>
      <w:lang w:val="ru-RU"/>
    </w:rPr>
  </w:style>
  <w:style w:type="character" w:styleId="Style21">
    <w:name w:val="Нижний колонтитул Знак"/>
    <w:qFormat/>
    <w:rPr>
      <w:sz w:val="28"/>
      <w:szCs w:val="24"/>
      <w:lang w:val="ru-RU"/>
    </w:rPr>
  </w:style>
  <w:style w:type="paragraph" w:styleId="Style22">
    <w:name w:val="Заголовок"/>
    <w:basedOn w:val="Normal"/>
    <w:next w:val="Normal"/>
    <w:qFormat/>
    <w:pPr>
      <w:spacing w:before="240" w:after="60"/>
      <w:jc w:val="center"/>
      <w:outlineLvl w:val="0"/>
    </w:pPr>
    <w:rPr>
      <w:rFonts w:ascii="Cambria" w:hAnsi="Cambria" w:eastAsia="Times New Roman" w:cs="Times New Roman"/>
      <w:b/>
      <w:bCs/>
      <w:kern w:val="2"/>
      <w:sz w:val="32"/>
      <w:szCs w:val="32"/>
    </w:rPr>
  </w:style>
  <w:style w:type="paragraph" w:styleId="Style23">
    <w:name w:val="Body Text"/>
    <w:basedOn w:val="Normal"/>
    <w:pPr>
      <w:spacing w:lineRule="auto" w:line="276" w:before="0" w:after="140"/>
    </w:pPr>
    <w:rPr/>
  </w:style>
  <w:style w:type="paragraph" w:styleId="Style24">
    <w:name w:val="List"/>
    <w:basedOn w:val="Style23"/>
    <w:pPr/>
    <w:rPr>
      <w:rFonts w:cs="Arial Unicode MS"/>
    </w:rPr>
  </w:style>
  <w:style w:type="paragraph" w:styleId="Style25">
    <w:name w:val="Caption"/>
    <w:basedOn w:val="Normal"/>
    <w:qFormat/>
    <w:pPr>
      <w:suppressLineNumbers/>
      <w:spacing w:before="120" w:after="120"/>
    </w:pPr>
    <w:rPr>
      <w:rFonts w:cs="Arial Unicode MS"/>
      <w:i/>
      <w:iCs/>
      <w:sz w:val="24"/>
      <w:szCs w:val="24"/>
    </w:rPr>
  </w:style>
  <w:style w:type="paragraph" w:styleId="Style26">
    <w:name w:val="Указатель"/>
    <w:basedOn w:val="Normal"/>
    <w:qFormat/>
    <w:pPr>
      <w:suppressLineNumbers/>
    </w:pPr>
    <w:rPr>
      <w:rFonts w:cs="Arial Unicode MS"/>
    </w:rPr>
  </w:style>
  <w:style w:type="paragraph" w:styleId="Style27">
    <w:name w:val="Header"/>
    <w:basedOn w:val="Normal"/>
    <w:pPr>
      <w:tabs>
        <w:tab w:val="center" w:pos="4153" w:leader="none"/>
        <w:tab w:val="right" w:pos="8306" w:leader="none"/>
      </w:tabs>
    </w:pPr>
    <w:rPr>
      <w:lang w:val="uk-UA"/>
    </w:rPr>
  </w:style>
  <w:style w:type="paragraph" w:styleId="Style28">
    <w:name w:val="Название объекта"/>
    <w:basedOn w:val="Normal"/>
    <w:next w:val="Normal"/>
    <w:qFormat/>
    <w:pPr>
      <w:jc w:val="center"/>
    </w:pPr>
    <w:rPr>
      <w:b/>
      <w:sz w:val="36"/>
      <w:szCs w:val="20"/>
    </w:rPr>
  </w:style>
  <w:style w:type="paragraph" w:styleId="14">
    <w:name w:val=" Знак Знак Знак1 Знак Знак Знак Знак Знак Знак Знак Знак Знак Знак Знак"/>
    <w:basedOn w:val="Normal"/>
    <w:qFormat/>
    <w:pPr/>
    <w:rPr>
      <w:rFonts w:ascii="Verdana" w:hAnsi="Verdana" w:cs="Verdana"/>
      <w:sz w:val="20"/>
      <w:szCs w:val="20"/>
      <w:lang w:val="en-US"/>
    </w:rPr>
  </w:style>
  <w:style w:type="paragraph" w:styleId="HTML">
    <w:name w:val="Стандартный HTML"/>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Style29">
    <w:name w:val=" Знак Знак Знак Знак Знак Знак Знак"/>
    <w:basedOn w:val="Normal"/>
    <w:qFormat/>
    <w:pPr/>
    <w:rPr>
      <w:rFonts w:ascii="Verdana" w:hAnsi="Verdana" w:cs="Verdana"/>
      <w:sz w:val="20"/>
      <w:szCs w:val="20"/>
      <w:lang w:val="en-US"/>
    </w:rPr>
  </w:style>
  <w:style w:type="paragraph" w:styleId="Style30">
    <w:name w:val="Body Text Indent"/>
    <w:basedOn w:val="Normal"/>
    <w:pPr>
      <w:spacing w:before="0" w:after="120"/>
      <w:ind w:left="283" w:hanging="0"/>
    </w:pPr>
    <w:rPr/>
  </w:style>
  <w:style w:type="paragraph" w:styleId="15">
    <w:name w:val=" Знак Знак Знак1"/>
    <w:basedOn w:val="Normal"/>
    <w:qFormat/>
    <w:pPr/>
    <w:rPr>
      <w:rFonts w:ascii="Verdana" w:hAnsi="Verdana" w:cs="Verdana"/>
      <w:sz w:val="20"/>
      <w:szCs w:val="20"/>
      <w:lang w:val="en-US"/>
    </w:rPr>
  </w:style>
  <w:style w:type="paragraph" w:styleId="21">
    <w:name w:val="Основной текст с отступом 2"/>
    <w:basedOn w:val="Normal"/>
    <w:qFormat/>
    <w:pPr>
      <w:spacing w:lineRule="auto" w:line="480" w:before="0" w:after="120"/>
      <w:ind w:left="283" w:hanging="0"/>
    </w:pPr>
    <w:rPr/>
  </w:style>
  <w:style w:type="paragraph" w:styleId="16">
    <w:name w:val=" Знак Знак Знак1 Знак"/>
    <w:basedOn w:val="Normal"/>
    <w:qFormat/>
    <w:pPr/>
    <w:rPr>
      <w:rFonts w:ascii="Verdana" w:hAnsi="Verdana" w:cs="Verdana"/>
      <w:sz w:val="20"/>
      <w:szCs w:val="20"/>
      <w:lang w:val="en-US"/>
    </w:rPr>
  </w:style>
  <w:style w:type="paragraph" w:styleId="17">
    <w:name w:val=" Знак Знак Знак1 Знак Знак Знак"/>
    <w:basedOn w:val="Normal"/>
    <w:qFormat/>
    <w:pPr/>
    <w:rPr>
      <w:rFonts w:ascii="Verdana" w:hAnsi="Verdana" w:cs="Verdana"/>
      <w:sz w:val="20"/>
      <w:szCs w:val="20"/>
      <w:lang w:val="en-US"/>
    </w:rPr>
  </w:style>
  <w:style w:type="paragraph"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pPr/>
    <w:rPr>
      <w:rFonts w:ascii="Verdana" w:hAnsi="Verdana" w:cs="Verdana"/>
      <w:sz w:val="20"/>
      <w:szCs w:val="20"/>
      <w:lang w:val="en-US"/>
    </w:rPr>
  </w:style>
  <w:style w:type="paragraph" w:styleId="Style31">
    <w:name w:val="Нормальний текст"/>
    <w:basedOn w:val="Normal"/>
    <w:qFormat/>
    <w:pPr>
      <w:spacing w:before="120" w:after="0"/>
      <w:ind w:firstLine="567"/>
    </w:pPr>
    <w:rPr>
      <w:rFonts w:ascii="Antiqua;Corbel" w:hAnsi="Antiqua;Corbel" w:cs="Antiqua;Corbel"/>
      <w:sz w:val="26"/>
      <w:szCs w:val="20"/>
      <w:lang w:val="uk-UA"/>
    </w:rPr>
  </w:style>
  <w:style w:type="paragraph" w:styleId="Style32">
    <w:name w:val="Назва документа"/>
    <w:basedOn w:val="Normal"/>
    <w:next w:val="Style31"/>
    <w:qFormat/>
    <w:pPr>
      <w:keepNext w:val="true"/>
      <w:keepLines/>
      <w:spacing w:before="240" w:after="240"/>
      <w:jc w:val="center"/>
    </w:pPr>
    <w:rPr>
      <w:rFonts w:ascii="Antiqua;Corbel" w:hAnsi="Antiqua;Corbel" w:cs="Antiqua;Corbel"/>
      <w:b/>
      <w:sz w:val="26"/>
      <w:szCs w:val="20"/>
      <w:lang w:val="uk-UA"/>
    </w:rPr>
  </w:style>
  <w:style w:type="paragraph" w:styleId="ShapkaDocumentu">
    <w:name w:val="Shapka Documentu"/>
    <w:basedOn w:val="Normal"/>
    <w:qFormat/>
    <w:pPr>
      <w:keepNext w:val="true"/>
      <w:keepLines/>
      <w:spacing w:before="0" w:after="240"/>
      <w:ind w:left="3969" w:hanging="0"/>
      <w:jc w:val="center"/>
    </w:pPr>
    <w:rPr>
      <w:rFonts w:ascii="Antiqua;Corbel" w:hAnsi="Antiqua;Corbel" w:cs="Antiqua;Corbel"/>
      <w:sz w:val="26"/>
      <w:szCs w:val="20"/>
      <w:lang w:val="uk-UA"/>
    </w:rPr>
  </w:style>
  <w:style w:type="paragraph" w:styleId="CharChar">
    <w:name w:val=" Char Знак Знак Char Знак"/>
    <w:basedOn w:val="Normal"/>
    <w:qFormat/>
    <w:pPr/>
    <w:rPr>
      <w:rFonts w:ascii="Verdana" w:hAnsi="Verdana" w:cs="Verdana"/>
      <w:sz w:val="20"/>
      <w:szCs w:val="20"/>
      <w:lang w:val="en-US"/>
    </w:rPr>
  </w:style>
  <w:style w:type="paragraph" w:styleId="Style33">
    <w:name w:val="Без интервала"/>
    <w:qFormat/>
    <w:pPr>
      <w:widowControl/>
    </w:pPr>
    <w:rPr>
      <w:rFonts w:ascii="Calibri" w:hAnsi="Calibri" w:eastAsia="Calibri" w:cs="Calibri"/>
      <w:color w:val="auto"/>
      <w:sz w:val="22"/>
      <w:szCs w:val="22"/>
      <w:lang w:val="ru-RU" w:bidi="ar-SA" w:eastAsia="zh-CN"/>
    </w:rPr>
  </w:style>
  <w:style w:type="paragraph" w:styleId="Style34">
    <w:name w:val="Текст"/>
    <w:basedOn w:val="Normal"/>
    <w:qFormat/>
    <w:pPr/>
    <w:rPr>
      <w:rFonts w:ascii="Courier New" w:hAnsi="Courier New" w:cs="Courier New"/>
      <w:sz w:val="20"/>
      <w:szCs w:val="20"/>
      <w:lang w:val="uk-UA"/>
    </w:rPr>
  </w:style>
  <w:style w:type="paragraph" w:styleId="Style35">
    <w:name w:val="Обычный (веб)"/>
    <w:basedOn w:val="Normal"/>
    <w:qFormat/>
    <w:pPr>
      <w:suppressAutoHyphens w:val="true"/>
      <w:spacing w:before="280" w:after="280"/>
    </w:pPr>
    <w:rPr>
      <w:sz w:val="24"/>
      <w:lang w:eastAsia="zh-CN"/>
    </w:rPr>
  </w:style>
  <w:style w:type="paragraph" w:styleId="Style36">
    <w:name w:val="Абзац списка"/>
    <w:basedOn w:val="Normal"/>
    <w:qFormat/>
    <w:pPr>
      <w:spacing w:before="0" w:after="0"/>
      <w:ind w:left="720" w:firstLine="709"/>
      <w:contextualSpacing/>
      <w:jc w:val="both"/>
    </w:pPr>
    <w:rPr>
      <w:rFonts w:ascii="Myriad Pro;Arial" w:hAnsi="Myriad Pro;Arial" w:eastAsia="Calibri" w:cs="Myriad Pro;Arial"/>
      <w:sz w:val="24"/>
      <w:szCs w:val="22"/>
      <w:lang w:val="uk-UA"/>
    </w:rPr>
  </w:style>
  <w:style w:type="paragraph" w:styleId="Rvps14">
    <w:name w:val="rvps14"/>
    <w:basedOn w:val="Normal"/>
    <w:qFormat/>
    <w:pPr>
      <w:spacing w:before="280" w:after="280"/>
    </w:pPr>
    <w:rPr>
      <w:sz w:val="24"/>
    </w:rPr>
  </w:style>
  <w:style w:type="paragraph" w:styleId="Rvps12">
    <w:name w:val="rvps12"/>
    <w:basedOn w:val="Normal"/>
    <w:qFormat/>
    <w:pPr>
      <w:spacing w:before="280" w:after="280"/>
    </w:pPr>
    <w:rPr>
      <w:sz w:val="24"/>
    </w:rPr>
  </w:style>
  <w:style w:type="paragraph" w:styleId="Style37">
    <w:name w:val="Текст выноски"/>
    <w:basedOn w:val="Normal"/>
    <w:qFormat/>
    <w:pPr/>
    <w:rPr>
      <w:rFonts w:ascii="Tahoma" w:hAnsi="Tahoma" w:cs="Tahoma"/>
      <w:sz w:val="16"/>
      <w:szCs w:val="16"/>
    </w:rPr>
  </w:style>
  <w:style w:type="paragraph" w:styleId="Style38">
    <w:name w:val="Footer"/>
    <w:basedOn w:val="Normal"/>
    <w:pPr>
      <w:tabs>
        <w:tab w:val="center" w:pos="4819" w:leader="none"/>
        <w:tab w:val="right" w:pos="9639" w:leader="none"/>
      </w:tabs>
    </w:pPr>
    <w:rPr/>
  </w:style>
  <w:style w:type="paragraph" w:styleId="Style39">
    <w:name w:val="Содержимое таблицы"/>
    <w:basedOn w:val="Normal"/>
    <w:qFormat/>
    <w:pPr>
      <w:suppressLineNumbers/>
    </w:pPr>
    <w:rPr/>
  </w:style>
  <w:style w:type="paragraph" w:styleId="Style40">
    <w:name w:val="Заголовок таблицы"/>
    <w:basedOn w:val="Style39"/>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240</TotalTime>
  <Application>LibreOffice/6.1.0.3$Windows_x86 LibreOffice_project/efb621ed25068d70781dc026f7e9c5187a4decd1</Application>
  <Pages>7</Pages>
  <Words>1945</Words>
  <Characters>12376</Characters>
  <CharactersWithSpaces>13809</CharactersWithSpaces>
  <Paragraphs>768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2020-05-20T16:07:34Z</dcterms:created>
  <dc:creator/>
  <dc:description/>
  <cp:keywords/>
  <dc:language>uk-UA</dc:language>
  <cp:lastModifiedBy>Lenovo</cp:lastModifiedBy>
  <cp:lastPrinted>2019-05-28T11:31:00Z</cp:lastPrinted>
  <dcterms:modified xsi:type="dcterms:W3CDTF">2020-05-18T14:53:00Z</dcterms:modified>
  <cp:revision>43</cp:revision>
  <dc:subject/>
  <dc:title> </dc:title>
</cp:coreProperties>
</file>