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299" w:rsidRPr="002659A7" w:rsidRDefault="002659A7" w:rsidP="002659A7">
      <w:pPr>
        <w:pStyle w:val="normal"/>
        <w:tabs>
          <w:tab w:val="left" w:pos="567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b/>
          <w:sz w:val="28"/>
          <w:szCs w:val="28"/>
        </w:rPr>
        <w:t>ПОЛОЖЕННЯ</w:t>
      </w:r>
      <w:r w:rsidR="00BD0299" w:rsidRPr="002659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C6C46" w:rsidRDefault="00BD0299" w:rsidP="002659A7">
      <w:pPr>
        <w:pStyle w:val="normal"/>
        <w:tabs>
          <w:tab w:val="left" w:pos="567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сприяння проведенню громадської експертизи </w:t>
      </w:r>
    </w:p>
    <w:p w:rsidR="00801783" w:rsidRPr="002659A7" w:rsidRDefault="00BD0299" w:rsidP="001C6C46">
      <w:pPr>
        <w:pStyle w:val="normal"/>
        <w:tabs>
          <w:tab w:val="left" w:pos="567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b/>
          <w:sz w:val="28"/>
          <w:szCs w:val="28"/>
        </w:rPr>
        <w:t>діяльності міської ради та її виконавчих органів</w:t>
      </w:r>
    </w:p>
    <w:p w:rsidR="00801783" w:rsidRPr="002659A7" w:rsidRDefault="00801783" w:rsidP="002659A7">
      <w:pPr>
        <w:pStyle w:val="normal"/>
        <w:tabs>
          <w:tab w:val="left" w:pos="567"/>
          <w:tab w:val="left" w:pos="1134"/>
        </w:tabs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2659A7" w:rsidRDefault="002659A7" w:rsidP="002659A7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A59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Це Положення визначає комплекс дій та заходів щодо сприяння проведенню інститутами громадянського суспільства громадської експертизи</w:t>
      </w:r>
      <w:r w:rsidR="00947CA3" w:rsidRPr="002659A7">
        <w:rPr>
          <w:rFonts w:ascii="Times New Roman" w:eastAsia="Times New Roman" w:hAnsi="Times New Roman" w:cs="Times New Roman"/>
          <w:sz w:val="28"/>
          <w:szCs w:val="28"/>
        </w:rPr>
        <w:t xml:space="preserve"> діяльності Луцької міської ради та її виконавчих органів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9A7" w:rsidRDefault="002659A7" w:rsidP="002659A7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A594F">
        <w:rPr>
          <w:rFonts w:ascii="Times New Roman" w:hAnsi="Times New Roman" w:cs="Times New Roman"/>
          <w:sz w:val="28"/>
          <w:szCs w:val="28"/>
        </w:rPr>
        <w:t> </w:t>
      </w:r>
      <w:r w:rsidR="007E2AC9" w:rsidRPr="002659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Громадська експертиза діяльності міської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ради та її виконавчих органів </w:t>
      </w:r>
      <w:r w:rsidR="007E2AC9" w:rsidRPr="002659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(далі – громадська експертиза) є складовою механізму демократичного управління, який передбачає проведення інститутами громадянського суспільства оцінки діяльності міської ради та виконавчих органів, ефективності прийняття і виконання такими органами рішень, підготовку пропозицій щодо розв’язання суспільно значущих проблем місцевого значення для їх урахування цими органами у своїй роботі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659A7" w:rsidRDefault="00E47D64" w:rsidP="002659A7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Предметом громадської експертизи є </w:t>
      </w:r>
      <w:r w:rsidR="007E2AC9" w:rsidRPr="002659A7">
        <w:rPr>
          <w:rFonts w:ascii="Times New Roman" w:eastAsia="Times New Roman" w:hAnsi="Times New Roman" w:cs="Times New Roman"/>
          <w:sz w:val="28"/>
          <w:szCs w:val="28"/>
        </w:rPr>
        <w:t xml:space="preserve">рішення міської ради, виконавчого комітету, розпорядження міського голови та інші нормативні акти, прийняті в межах 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>компетенції</w:t>
      </w:r>
      <w:r w:rsidR="008E341F">
        <w:rPr>
          <w:rFonts w:ascii="Times New Roman" w:eastAsia="Times New Roman" w:hAnsi="Times New Roman" w:cs="Times New Roman"/>
          <w:sz w:val="28"/>
          <w:szCs w:val="28"/>
        </w:rPr>
        <w:t xml:space="preserve"> виконавчих органів міської ради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659A7" w:rsidRDefault="006A594F" w:rsidP="002659A7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t>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Під інститутами громадянського суспільства у цьому Положенні розуміються громадські об'єднання, професійні спілки та їх об'єднання, благодійні організації та інші непідприємницькі товариства, </w:t>
      </w:r>
      <w:r w:rsidR="00A52D1C">
        <w:rPr>
          <w:rFonts w:ascii="Times New Roman" w:eastAsia="Times New Roman" w:hAnsi="Times New Roman" w:cs="Times New Roman"/>
          <w:sz w:val="28"/>
          <w:szCs w:val="28"/>
        </w:rPr>
        <w:t xml:space="preserve">релігійні організації, недержавні засоби масової інформації,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установи та організації </w:t>
      </w:r>
      <w:r w:rsidR="008E341F" w:rsidRPr="002659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юридичні особи приватного права, легалізовані відповідно до законодавства, та місцезнаходження яких зареєстровано на території Луцької міської територіальної громади. </w:t>
      </w:r>
    </w:p>
    <w:p w:rsidR="0018334F" w:rsidRDefault="006A594F" w:rsidP="0018334F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Інститут громадянського суспільства (далі </w:t>
      </w:r>
      <w:r w:rsidR="00DA6066" w:rsidRPr="002659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ІГС), </w:t>
      </w:r>
      <w:r w:rsidR="007D772F" w:rsidRPr="002659A7">
        <w:rPr>
          <w:rFonts w:ascii="Times New Roman" w:eastAsia="Times New Roman" w:hAnsi="Times New Roman" w:cs="Times New Roman"/>
          <w:sz w:val="28"/>
          <w:szCs w:val="28"/>
        </w:rPr>
        <w:t>який ініціює</w:t>
      </w:r>
      <w:r w:rsidR="005D1033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проведення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громадської експертизи, надсилає на ім'я міського голови </w:t>
      </w:r>
      <w:r w:rsidR="005D1033" w:rsidRPr="002659A7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проведення громадської експертизи із зазначенням:</w:t>
      </w:r>
    </w:p>
    <w:p w:rsidR="0018334F" w:rsidRDefault="006A594F" w:rsidP="0018334F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найменування, місцезнаходження ІГС, відомостей про його реєстрацію, контактних телефонів, електронної адреси (за наявності) та адреси для листування, якщо вона є відмінною від місцезнаходження ІГС;</w:t>
      </w:r>
    </w:p>
    <w:p w:rsidR="0018334F" w:rsidRDefault="006A594F" w:rsidP="0018334F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посади, прізвища, ім'я та по батькові уповноваженої особи від ІГС, з якою буде взаємодіяти уповноважена особа виконавчого органу щодо сприяння проведенню громадської експертизи;</w:t>
      </w:r>
    </w:p>
    <w:p w:rsidR="0018334F" w:rsidRDefault="006A594F" w:rsidP="0018334F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предмета та мети проведення громадської експертизи;</w:t>
      </w:r>
    </w:p>
    <w:p w:rsidR="0018334F" w:rsidRDefault="006A594F" w:rsidP="0018334F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t>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у разі потреби додаткової інформації, із описом інформації або зазначенням виду,</w:t>
      </w:r>
      <w:r w:rsidR="00E47D64" w:rsidRPr="002659A7">
        <w:rPr>
          <w:rFonts w:ascii="Times New Roman" w:hAnsi="Times New Roman" w:cs="Times New Roman"/>
          <w:sz w:val="28"/>
          <w:szCs w:val="28"/>
        </w:rPr>
        <w:t xml:space="preserve">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назви, реквізитів чи змісту документів, щодо яких </w:t>
      </w:r>
      <w:r w:rsidR="008E341F">
        <w:rPr>
          <w:rFonts w:ascii="Times New Roman" w:eastAsia="Times New Roman" w:hAnsi="Times New Roman" w:cs="Times New Roman"/>
          <w:sz w:val="28"/>
          <w:szCs w:val="28"/>
        </w:rPr>
        <w:t>готується повідомлення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, необхідних для проведення громадської експертизи.</w:t>
      </w:r>
    </w:p>
    <w:p w:rsidR="00FC00FC" w:rsidRDefault="005D1033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проведення громадської експертизи підписується уповноваженою особою ІГС відповідно до </w:t>
      </w:r>
      <w:r w:rsidR="000F5953" w:rsidRPr="002659A7">
        <w:rPr>
          <w:rFonts w:ascii="Times New Roman" w:eastAsia="Times New Roman" w:hAnsi="Times New Roman" w:cs="Times New Roman"/>
          <w:sz w:val="28"/>
          <w:szCs w:val="28"/>
        </w:rPr>
        <w:t>його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установчих документів.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Луцький міський голова визначає відповідальний виконавчий орган (посадову особу),</w:t>
      </w:r>
      <w:r w:rsidR="000F5953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до компетенції якого належить питання, що є предметом громадської експертизи, для опрацювання та сприяння проведенню ІГС громадської експертизи відповідно до цього Положення.</w:t>
      </w:r>
    </w:p>
    <w:p w:rsidR="00FC00FC" w:rsidRDefault="00E47D64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Відповідальний виконавчий орган (посадова особа) розглядає </w:t>
      </w:r>
      <w:r w:rsidR="003A65A1" w:rsidRPr="002659A7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ІГС про проведення громадської експертизи та готує один з наступних документів: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проєкт розпорядження міського голови про сприяння ІГС у проведенні громадської експертизи;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A65A1" w:rsidRPr="002659A7">
        <w:rPr>
          <w:rFonts w:ascii="Times New Roman" w:eastAsia="Times New Roman" w:hAnsi="Times New Roman" w:cs="Times New Roman"/>
          <w:sz w:val="28"/>
          <w:szCs w:val="28"/>
        </w:rPr>
        <w:t xml:space="preserve">проєкт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відмов</w:t>
      </w:r>
      <w:r w:rsidR="003A65A1" w:rsidRPr="002659A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65A1" w:rsidRPr="002659A7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громадської експертизи.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t>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ІГС може бути відмовлено у проведенні громадської експертизи у випадках якщо: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A45382" w:rsidRPr="002659A7">
        <w:rPr>
          <w:rFonts w:ascii="Times New Roman" w:eastAsia="Times New Roman" w:hAnsi="Times New Roman" w:cs="Times New Roman"/>
          <w:sz w:val="28"/>
          <w:szCs w:val="28"/>
        </w:rPr>
        <w:t>зверненн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я ІГС не відповідає вимогам, передбаченим пунктом 4 цього Положення;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предмет громадської експертизи направлений на оцінку діяльності, що не належить до компетенції Луцької міської ради чи її виконавч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органів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B3E7F" w:rsidRPr="002659A7">
        <w:rPr>
          <w:rFonts w:ascii="Times New Roman" w:eastAsia="Times New Roman" w:hAnsi="Times New Roman" w:cs="Times New Roman"/>
          <w:sz w:val="28"/>
          <w:szCs w:val="28"/>
        </w:rPr>
        <w:t>мета</w:t>
      </w:r>
      <w:r w:rsidR="00A45382" w:rsidRPr="002659A7">
        <w:rPr>
          <w:rFonts w:ascii="Times New Roman" w:eastAsia="Times New Roman" w:hAnsi="Times New Roman" w:cs="Times New Roman"/>
          <w:sz w:val="28"/>
          <w:szCs w:val="28"/>
        </w:rPr>
        <w:t xml:space="preserve"> громадської експертизи суперечить законодавству України;</w:t>
      </w:r>
    </w:p>
    <w:p w:rsidR="00FC00FC" w:rsidRDefault="006A594F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серед засновників чи бенефіціарів ІГС є близькі особи до члена або посадової особи виконавчого органу (відповідального за сприяння проведенню громадської експертизи) або особи, на чию користь було прийняте рішення Луцької міської ради чи її виконавчого </w:t>
      </w:r>
      <w:r w:rsidR="00A45382" w:rsidRPr="002659A7">
        <w:rPr>
          <w:rFonts w:ascii="Times New Roman" w:eastAsia="Times New Roman" w:hAnsi="Times New Roman" w:cs="Times New Roman"/>
          <w:sz w:val="28"/>
          <w:szCs w:val="28"/>
        </w:rPr>
        <w:t>органу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A52D1C" w:rsidRDefault="00A52D1C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якщо предмет громадської експертизи належить до типу документів, що не підлягають розголосу чи оприлюдненн</w:t>
      </w:r>
      <w:r w:rsidR="004C76C5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>, містять персональні дані третіх осіб, стосуються питань введення надзвичайного чи воєнного стану;</w:t>
      </w:r>
    </w:p>
    <w:p w:rsidR="00FC00FC" w:rsidRDefault="00A52D1C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A594F">
        <w:rPr>
          <w:rFonts w:ascii="Times New Roman" w:hAnsi="Times New Roman" w:cs="Times New Roman"/>
          <w:sz w:val="28"/>
          <w:szCs w:val="28"/>
        </w:rPr>
        <w:t>) </w:t>
      </w:r>
      <w:r w:rsidR="008E341F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проведення експертизи подане ІГС, до якого може бути застосований захід, передбачений пунктом 1</w:t>
      </w:r>
      <w:r w:rsidR="00573C34" w:rsidRPr="002659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цього Положення.</w:t>
      </w:r>
    </w:p>
    <w:p w:rsidR="00FC00FC" w:rsidRDefault="00A45382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Виконавчий орган чи відповідальна особа (посадова особа) протягом 5 робочих днів після надходження звернення інформує ІГС</w:t>
      </w:r>
      <w:r w:rsidR="008A026E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відмову у проведенні громадської експертизи з зазначенням підстав та обґрунтуванням відмови.</w:t>
      </w:r>
    </w:p>
    <w:p w:rsidR="00FC00FC" w:rsidRDefault="007177C9" w:rsidP="00FC00FC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Невмотивована відмова у проведенні громадської експертизи не допускається.</w:t>
      </w:r>
    </w:p>
    <w:p w:rsidR="00012204" w:rsidRDefault="008E341F" w:rsidP="00012204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цілей підпункту 4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пункту 6 цього Положення термін «близька особа» вживається у визначенні, наданому Законом України «Про запобігання корупції».</w:t>
      </w:r>
    </w:p>
    <w:p w:rsidR="00012204" w:rsidRDefault="006A594F" w:rsidP="00012204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Розпорядження міського голови про сприяння ІГС у проведенні громадської експертизи видається впродовж 5 робочих днів з моменту отримання відповідного 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.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 xml:space="preserve"> У разі необхідності додаткової перевірки відповідності проведення громадської експертизи законодавству України чи вивчення додаткових обставин звернення</w:t>
      </w:r>
      <w:r w:rsidR="008E341F">
        <w:rPr>
          <w:rFonts w:ascii="Times New Roman" w:eastAsia="Times New Roman" w:hAnsi="Times New Roman" w:cs="Times New Roman"/>
          <w:sz w:val="28"/>
          <w:szCs w:val="28"/>
        </w:rPr>
        <w:t>,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2528" w:rsidRPr="002659A7">
        <w:rPr>
          <w:rFonts w:ascii="Times New Roman" w:eastAsia="Times New Roman" w:hAnsi="Times New Roman" w:cs="Times New Roman"/>
          <w:sz w:val="28"/>
          <w:szCs w:val="28"/>
        </w:rPr>
        <w:t>розпорядження міського голови про сприяння ІГС у проведенні громадської експертизи видається не пізніше ніж 15 робочих днів з моменту отримання відповідного звернення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2204" w:rsidRDefault="00E47D64" w:rsidP="00012204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У розпорядженні міського голови зазначаються: </w:t>
      </w:r>
    </w:p>
    <w:p w:rsidR="00012204" w:rsidRDefault="006A594F" w:rsidP="00012204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>посадова особа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>виконавчого органу чи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відповідальн</w:t>
      </w:r>
      <w:r w:rsidR="005004AB" w:rsidRPr="002659A7">
        <w:rPr>
          <w:rFonts w:ascii="Times New Roman" w:eastAsia="Times New Roman" w:hAnsi="Times New Roman" w:cs="Times New Roman"/>
          <w:sz w:val="28"/>
          <w:szCs w:val="28"/>
        </w:rPr>
        <w:t>а (відповідальні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) за сприяння проведенню громадської експертизи;</w:t>
      </w:r>
    </w:p>
    <w:p w:rsidR="00012204" w:rsidRDefault="006A594F" w:rsidP="00012204">
      <w:pPr>
        <w:pStyle w:val="normal"/>
        <w:tabs>
          <w:tab w:val="left" w:pos="567"/>
          <w:tab w:val="center" w:pos="840"/>
          <w:tab w:val="right" w:pos="992"/>
          <w:tab w:val="left" w:pos="874"/>
          <w:tab w:val="left" w:pos="113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перелік заходів, що мають бути забезпечені виконавчим органом з метою сприяння проведенню громадської експертизи із зазначенням строків та відповідальних виконавців;</w:t>
      </w:r>
    </w:p>
    <w:p w:rsidR="00012204" w:rsidRDefault="006A594F" w:rsidP="00012204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утворення та склад робочої групи зі сприяння проведенню громадської експертизи</w:t>
      </w:r>
      <w:r w:rsidR="00FE6B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E4B">
        <w:rPr>
          <w:rFonts w:ascii="Times New Roman" w:eastAsia="Times New Roman" w:hAnsi="Times New Roman" w:cs="Times New Roman"/>
          <w:sz w:val="28"/>
          <w:szCs w:val="28"/>
        </w:rPr>
        <w:t xml:space="preserve">під керівництвом профільного заступника міського голови </w:t>
      </w:r>
      <w:r w:rsidR="00FE6B64" w:rsidRPr="002659A7">
        <w:rPr>
          <w:rFonts w:ascii="Times New Roman" w:eastAsia="Times New Roman" w:hAnsi="Times New Roman" w:cs="Times New Roman"/>
          <w:sz w:val="28"/>
          <w:szCs w:val="28"/>
        </w:rPr>
        <w:t>(у разі потреби)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2204" w:rsidRDefault="00E47D64" w:rsidP="00012204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Копія розпорядження про сприяння ІГС у проведенні громадської експертизи </w:t>
      </w:r>
      <w:r w:rsidR="00206E96" w:rsidRPr="002659A7">
        <w:rPr>
          <w:rFonts w:ascii="Times New Roman" w:eastAsia="Times New Roman" w:hAnsi="Times New Roman" w:cs="Times New Roman"/>
          <w:sz w:val="28"/>
          <w:szCs w:val="28"/>
        </w:rPr>
        <w:t xml:space="preserve">протягом 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06E96" w:rsidRPr="002659A7">
        <w:rPr>
          <w:rFonts w:ascii="Times New Roman" w:eastAsia="Times New Roman" w:hAnsi="Times New Roman" w:cs="Times New Roman"/>
          <w:sz w:val="28"/>
          <w:szCs w:val="28"/>
        </w:rPr>
        <w:t xml:space="preserve"> робочих днів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6E96" w:rsidRPr="002659A7">
        <w:rPr>
          <w:rFonts w:ascii="Times New Roman" w:eastAsia="Times New Roman" w:hAnsi="Times New Roman" w:cs="Times New Roman"/>
          <w:sz w:val="28"/>
          <w:szCs w:val="28"/>
        </w:rPr>
        <w:t>з моменту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його видання, надсилається відповідному ІГС у спосіб, вказаний ІГС у 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зверненні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проведення громадської експертизи, а якщо такий спосіб не визначено </w:t>
      </w:r>
      <w:r w:rsidR="00576F52" w:rsidRPr="002659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на поштову адресу ІГС.</w:t>
      </w:r>
    </w:p>
    <w:p w:rsidR="008974E5" w:rsidRDefault="00E47D64" w:rsidP="008974E5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День видання розпорядження про сприяння ІГС у проведенні громадської експертизи є датою початку проведення такої експертизи.</w:t>
      </w:r>
    </w:p>
    <w:p w:rsidR="008974E5" w:rsidRDefault="00E47D64" w:rsidP="008974E5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Якщо у 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зверненні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ІГС містився перелік інформації, необхідної для проведення громадської експертизи, визначений Луцьким міським головою відповідальний виконавчий орган (посадова особа), до компетенції якого належить питання, що є предметом громадської експертизи, надає документи (завірені в установленому порядку їх копії) чи надсилає їх в електронній формі впродовж 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робочих днів з моменту видання розпорядження про проведення громадської експертизи. У разі коли повідомлення стосується надання великого обсягу інформації або потребує пошуку інформації серед значної кількості даних, строк надання документів може бути продовжено до 20 робочих днів. </w:t>
      </w:r>
    </w:p>
    <w:p w:rsidR="008974E5" w:rsidRDefault="00E47D64" w:rsidP="008974E5">
      <w:pPr>
        <w:pStyle w:val="normal"/>
        <w:tabs>
          <w:tab w:val="left" w:pos="567"/>
          <w:tab w:val="center" w:pos="840"/>
          <w:tab w:val="left" w:pos="993"/>
          <w:tab w:val="left" w:pos="87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У разі якщо повідомлення передбачає виготовлення копій документів обсягом більш як 10 сторінок, ІГС зобов'язаний відшкодувати фактичні витрати на копіювання та друк.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100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Інформація про отримання </w:t>
      </w:r>
      <w:r w:rsidR="00742C6F" w:rsidRPr="002659A7">
        <w:rPr>
          <w:rFonts w:ascii="Times New Roman" w:eastAsia="Times New Roman" w:hAnsi="Times New Roman" w:cs="Times New Roman"/>
          <w:sz w:val="28"/>
          <w:szCs w:val="28"/>
        </w:rPr>
        <w:t>звернен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 проведення громадської експертизи, а також прийняті з цього приводу висновки та рішення оприлюднюються на </w:t>
      </w:r>
      <w:r w:rsidR="001D5F2C" w:rsidRPr="002659A7">
        <w:rPr>
          <w:rFonts w:ascii="Times New Roman" w:eastAsia="Times New Roman" w:hAnsi="Times New Roman" w:cs="Times New Roman"/>
          <w:sz w:val="28"/>
          <w:szCs w:val="28"/>
        </w:rPr>
        <w:t xml:space="preserve">офіційному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сайті </w:t>
      </w:r>
      <w:r w:rsidR="001D5F2C" w:rsidRPr="002659A7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ради у строк не пізніше </w:t>
      </w:r>
      <w:r w:rsidR="00576F52">
        <w:rPr>
          <w:rFonts w:ascii="Times New Roman" w:eastAsia="Times New Roman" w:hAnsi="Times New Roman" w:cs="Times New Roman"/>
          <w:sz w:val="28"/>
          <w:szCs w:val="28"/>
        </w:rPr>
        <w:t>3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робочих днів з моменту прийняття відповідн</w:t>
      </w:r>
      <w:r w:rsidR="004C76C5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рішен</w:t>
      </w:r>
      <w:r w:rsidR="004C76C5">
        <w:rPr>
          <w:rFonts w:ascii="Times New Roman" w:eastAsia="Times New Roman" w:hAnsi="Times New Roman" w:cs="Times New Roman"/>
          <w:sz w:val="28"/>
          <w:szCs w:val="28"/>
        </w:rPr>
        <w:t>ь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100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Посадові особи органів місцевого самоврядування не повинні перешкоджати проведенню громадської експертизи та втручатись у правомірну діяльність ІГС, пов'язану з її проведенням.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F374B2" w:rsidRPr="002659A7">
        <w:rPr>
          <w:rFonts w:ascii="Times New Roman" w:eastAsia="Times New Roman" w:hAnsi="Times New Roman" w:cs="Times New Roman"/>
          <w:sz w:val="28"/>
          <w:szCs w:val="28"/>
        </w:rPr>
        <w:t>ІГС під час проведення громадської експертизи не повинні вимагати документи, що не відносяться до предмету громадської експертизи.</w:t>
      </w:r>
    </w:p>
    <w:p w:rsidR="00576F52" w:rsidRDefault="00576F52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ІГС під час проведення громадської експертизи не повинні перешкоджати чи втручатися в роботу виконавчих органів (посадових осіб) та виконання їх функціональних обов’язків.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980F71" w:rsidRPr="002659A7">
        <w:rPr>
          <w:rFonts w:ascii="Times New Roman" w:eastAsia="Times New Roman" w:hAnsi="Times New Roman" w:cs="Times New Roman"/>
          <w:sz w:val="28"/>
          <w:szCs w:val="28"/>
        </w:rPr>
        <w:t>З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а результатами громадської експертизи міському голові </w:t>
      </w:r>
      <w:r w:rsidR="00980F71" w:rsidRPr="002659A7">
        <w:rPr>
          <w:rFonts w:ascii="Times New Roman" w:eastAsia="Times New Roman" w:hAnsi="Times New Roman" w:cs="Times New Roman"/>
          <w:sz w:val="28"/>
          <w:szCs w:val="28"/>
        </w:rPr>
        <w:t xml:space="preserve">подаються висновки, пропозиції чи інші документи, підготовлені ІГС (далі </w:t>
      </w:r>
      <w:r w:rsidR="00FC555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80F71" w:rsidRPr="002659A7">
        <w:rPr>
          <w:rFonts w:ascii="Times New Roman" w:eastAsia="Times New Roman" w:hAnsi="Times New Roman" w:cs="Times New Roman"/>
          <w:sz w:val="28"/>
          <w:szCs w:val="28"/>
        </w:rPr>
        <w:t xml:space="preserve"> експертні пропозиції) 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впродовж 60 </w:t>
      </w:r>
      <w:r w:rsidR="00B7687F">
        <w:rPr>
          <w:rFonts w:ascii="Times New Roman" w:eastAsia="Times New Roman" w:hAnsi="Times New Roman" w:cs="Times New Roman"/>
          <w:sz w:val="28"/>
          <w:szCs w:val="28"/>
        </w:rPr>
        <w:t>робочих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днів від початку проведення громадської експертизи в письмовій та електронній формі з зазначенням: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інформації про ініціатора громадської експертизи;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предмета і мети проведення громадської експертизи;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відомостей про експертів, які проводили експертизу;</w:t>
      </w:r>
    </w:p>
    <w:p w:rsidR="008974E5" w:rsidRDefault="006A594F" w:rsidP="008974E5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>переліку інформації, відомостей та документів, які були досліджені для проведення громадської експертизи;</w:t>
      </w:r>
    </w:p>
    <w:p w:rsidR="00311107" w:rsidRDefault="006A594F" w:rsidP="00311107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експертних пропозицій щодо аналізу та оцінки 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Луцької міської  ради та її виконавч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52EF" w:rsidRPr="002659A7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B52EF" w:rsidRPr="002659A7">
        <w:rPr>
          <w:rFonts w:ascii="Times New Roman" w:eastAsia="Times New Roman" w:hAnsi="Times New Roman" w:cs="Times New Roman"/>
          <w:sz w:val="28"/>
          <w:szCs w:val="28"/>
        </w:rPr>
        <w:t>вирішення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проблем місцевого значення, які становлять суспільний інтерес).</w:t>
      </w:r>
    </w:p>
    <w:p w:rsidR="00311107" w:rsidRDefault="00E47D64" w:rsidP="00311107">
      <w:pPr>
        <w:pStyle w:val="normal"/>
        <w:tabs>
          <w:tab w:val="left" w:pos="567"/>
          <w:tab w:val="center" w:pos="840"/>
          <w:tab w:val="left" w:pos="874"/>
          <w:tab w:val="left" w:pos="998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Експертні пропозиції повинні стосуватися виключно питань, віднесених до компетенції органів місцевого самоврядування та які є предметом даної громадської експертизи згідно з підпунктом 3 пункту 4 цього Положення, містити чіткі рекомендації і обґрунтування їх впровадження, тексти пропонованих змін до рішень, а також можуть містити порівняльні таблиці та пояснювальну записку.</w:t>
      </w:r>
    </w:p>
    <w:p w:rsidR="00311107" w:rsidRDefault="00E47D64" w:rsidP="00311107">
      <w:pPr>
        <w:pStyle w:val="normal"/>
        <w:tabs>
          <w:tab w:val="left" w:pos="567"/>
          <w:tab w:val="center" w:pos="840"/>
          <w:tab w:val="left" w:pos="874"/>
          <w:tab w:val="left" w:pos="993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>У разі коли ініціатор громадської експертизи не подав експертні пропозиції впродовж 60 робочих днів від початку проведення громадської експертизи, експертиза вважається такою, що не відбулася.</w:t>
      </w:r>
    </w:p>
    <w:p w:rsidR="00311107" w:rsidRDefault="006A594F" w:rsidP="00311107">
      <w:pPr>
        <w:pStyle w:val="normal"/>
        <w:tabs>
          <w:tab w:val="left" w:pos="567"/>
          <w:tab w:val="center" w:pos="840"/>
          <w:tab w:val="left" w:pos="874"/>
          <w:tab w:val="left" w:pos="993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ІГС, який у визначені цим Положенням строки не подав експертних пропозицій за наслідками проведення громадської експертизи, не може ініціювати проведення та/або брати участь у проведенні інших громадських експертиз 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Луцької міської ради та її виконавч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органів</w:t>
      </w:r>
      <w:r w:rsidR="00E47D64" w:rsidRPr="002659A7">
        <w:rPr>
          <w:rFonts w:ascii="Times New Roman" w:eastAsia="Times New Roman" w:hAnsi="Times New Roman" w:cs="Times New Roman"/>
          <w:sz w:val="28"/>
          <w:szCs w:val="28"/>
        </w:rPr>
        <w:t xml:space="preserve"> впродовж 365 календарних днів з моменту завершення строку для подання відповідних експертних пропозицій.</w:t>
      </w:r>
    </w:p>
    <w:p w:rsidR="00311107" w:rsidRDefault="00E47D64" w:rsidP="00311107">
      <w:pPr>
        <w:pStyle w:val="normal"/>
        <w:tabs>
          <w:tab w:val="left" w:pos="567"/>
          <w:tab w:val="center" w:pos="840"/>
          <w:tab w:val="left" w:pos="874"/>
          <w:tab w:val="left" w:pos="993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Заборона, передбачена абзацом першим цього пункту Положення, не може обмежувати </w:t>
      </w:r>
      <w:r w:rsidR="001B52EF" w:rsidRPr="002659A7">
        <w:rPr>
          <w:rFonts w:ascii="Times New Roman" w:eastAsia="Times New Roman" w:hAnsi="Times New Roman" w:cs="Times New Roman"/>
          <w:sz w:val="28"/>
          <w:szCs w:val="28"/>
        </w:rPr>
        <w:t xml:space="preserve">інші 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>права ІГС та стосується виключно права участі в проведенні громадських експертиз.</w:t>
      </w:r>
    </w:p>
    <w:p w:rsidR="00311107" w:rsidRDefault="00E47D64" w:rsidP="00311107">
      <w:pPr>
        <w:pStyle w:val="normal"/>
        <w:tabs>
          <w:tab w:val="left" w:pos="567"/>
          <w:tab w:val="center" w:pos="840"/>
          <w:tab w:val="left" w:pos="874"/>
          <w:tab w:val="left" w:pos="1004"/>
          <w:tab w:val="left" w:pos="1671"/>
        </w:tabs>
        <w:spacing w:line="24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Інформація про застосування до ІГС передбачених абзацом першим цього пункту заборон та підстав для їх застосування оприлюднюється у строки та спосіб, визначений пунктом </w:t>
      </w:r>
      <w:r w:rsidR="00E9360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2659A7">
        <w:rPr>
          <w:rFonts w:ascii="Times New Roman" w:eastAsia="Times New Roman" w:hAnsi="Times New Roman" w:cs="Times New Roman"/>
          <w:sz w:val="28"/>
          <w:szCs w:val="28"/>
        </w:rPr>
        <w:t xml:space="preserve"> цього Положення, та має бути доступною для перегляду щонайменше впродовж 365 календарних днів з моменту прийняття відповідного рішення.</w:t>
      </w:r>
    </w:p>
    <w:p w:rsidR="00412925" w:rsidRDefault="00D53095" w:rsidP="00D53095">
      <w:pPr>
        <w:pStyle w:val="normal"/>
        <w:tabs>
          <w:tab w:val="left" w:pos="1004"/>
        </w:tabs>
        <w:spacing w:line="24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> 13. </w:t>
      </w:r>
      <w:r w:rsidR="00042AD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42AD1" w:rsidRPr="00D53095">
        <w:rPr>
          <w:rFonts w:ascii="Times New Roman" w:eastAsia="Times New Roman" w:hAnsi="Times New Roman" w:cs="Times New Roman"/>
          <w:sz w:val="28"/>
          <w:szCs w:val="28"/>
        </w:rPr>
        <w:t>кспертні пропозиції</w:t>
      </w:r>
      <w:r w:rsidR="00042A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42AD1" w:rsidRPr="00D53095">
        <w:rPr>
          <w:rFonts w:ascii="Times New Roman" w:eastAsia="Times New Roman" w:hAnsi="Times New Roman" w:cs="Times New Roman"/>
          <w:sz w:val="28"/>
          <w:szCs w:val="28"/>
        </w:rPr>
        <w:t>підготовлені ІГС</w:t>
      </w:r>
      <w:r w:rsidR="00460C36">
        <w:rPr>
          <w:rFonts w:ascii="Times New Roman" w:eastAsia="Times New Roman" w:hAnsi="Times New Roman" w:cs="Times New Roman"/>
          <w:sz w:val="28"/>
          <w:szCs w:val="28"/>
        </w:rPr>
        <w:t>,</w:t>
      </w:r>
      <w:r w:rsidR="00042AD1" w:rsidRPr="00D530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AD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412925">
        <w:rPr>
          <w:rFonts w:ascii="Times New Roman" w:eastAsia="Times New Roman" w:hAnsi="Times New Roman" w:cs="Times New Roman"/>
          <w:sz w:val="28"/>
          <w:szCs w:val="28"/>
        </w:rPr>
        <w:t>а результатом розгляду Луцьким міським головою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мають бути </w:t>
      </w:r>
      <w:r w:rsidR="00412925">
        <w:rPr>
          <w:rFonts w:ascii="Times New Roman" w:eastAsia="Times New Roman" w:hAnsi="Times New Roman" w:cs="Times New Roman"/>
          <w:sz w:val="28"/>
          <w:szCs w:val="28"/>
        </w:rPr>
        <w:t>опрацьовані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7DEE">
        <w:rPr>
          <w:rFonts w:ascii="Times New Roman" w:eastAsia="Times New Roman" w:hAnsi="Times New Roman" w:cs="Times New Roman"/>
          <w:sz w:val="28"/>
          <w:szCs w:val="28"/>
        </w:rPr>
        <w:t>відповідальним виконавчим</w:t>
      </w:r>
      <w:r w:rsidR="00AD6E4B">
        <w:rPr>
          <w:rFonts w:ascii="Times New Roman" w:eastAsia="Times New Roman" w:hAnsi="Times New Roman" w:cs="Times New Roman"/>
          <w:sz w:val="28"/>
          <w:szCs w:val="28"/>
        </w:rPr>
        <w:t xml:space="preserve"> органом (чи посадовою особою) </w:t>
      </w:r>
      <w:r w:rsidR="00087DEE">
        <w:rPr>
          <w:rFonts w:ascii="Times New Roman" w:eastAsia="Times New Roman" w:hAnsi="Times New Roman" w:cs="Times New Roman"/>
          <w:sz w:val="28"/>
          <w:szCs w:val="28"/>
        </w:rPr>
        <w:t xml:space="preserve">та/або 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>робочою групою</w:t>
      </w:r>
      <w:r w:rsidR="00AD6E4B">
        <w:rPr>
          <w:rFonts w:ascii="Times New Roman" w:eastAsia="Times New Roman" w:hAnsi="Times New Roman" w:cs="Times New Roman"/>
          <w:sz w:val="28"/>
          <w:szCs w:val="28"/>
        </w:rPr>
        <w:t xml:space="preserve"> визначеними розпорядження</w:t>
      </w:r>
      <w:r w:rsidR="005135D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D6E4B">
        <w:rPr>
          <w:rFonts w:ascii="Times New Roman" w:eastAsia="Times New Roman" w:hAnsi="Times New Roman" w:cs="Times New Roman"/>
          <w:sz w:val="28"/>
          <w:szCs w:val="28"/>
        </w:rPr>
        <w:t xml:space="preserve"> міського голови про сприяння ІГС у проведенні громадської експертизи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B5529" w:rsidRPr="00DB5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3095" w:rsidRPr="00D53095" w:rsidRDefault="00D53095" w:rsidP="00D53095">
      <w:pPr>
        <w:pStyle w:val="normal"/>
        <w:spacing w:line="240" w:lineRule="auto"/>
        <w:ind w:left="20"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>Для участі з правом виступу в розгляді експертних пропозицій мож</w:t>
      </w:r>
      <w:r w:rsidR="00CA36F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запрошуватися представник ІГС, який проводив громадську експертизу</w:t>
      </w:r>
      <w:r w:rsidR="0041292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3095" w:rsidRDefault="00D53095" w:rsidP="00D53095">
      <w:pPr>
        <w:pStyle w:val="normal"/>
        <w:tabs>
          <w:tab w:val="left" w:pos="970"/>
        </w:tabs>
        <w:spacing w:line="240" w:lineRule="auto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14. За результатами розгляду експертних пропозицій, підготовлених ІГС, </w:t>
      </w:r>
      <w:r w:rsidR="004B5F5D">
        <w:rPr>
          <w:rFonts w:ascii="Times New Roman" w:eastAsia="Times New Roman" w:hAnsi="Times New Roman" w:cs="Times New Roman"/>
          <w:sz w:val="28"/>
          <w:szCs w:val="28"/>
        </w:rPr>
        <w:t>відповідальний викона</w:t>
      </w:r>
      <w:r w:rsidR="00AD6E4B">
        <w:rPr>
          <w:rFonts w:ascii="Times New Roman" w:eastAsia="Times New Roman" w:hAnsi="Times New Roman" w:cs="Times New Roman"/>
          <w:sz w:val="28"/>
          <w:szCs w:val="28"/>
        </w:rPr>
        <w:t xml:space="preserve">вчий орган (чи посадова особа) </w:t>
      </w:r>
      <w:r w:rsidR="004B5F5D">
        <w:rPr>
          <w:rFonts w:ascii="Times New Roman" w:eastAsia="Times New Roman" w:hAnsi="Times New Roman" w:cs="Times New Roman"/>
          <w:sz w:val="28"/>
          <w:szCs w:val="28"/>
        </w:rPr>
        <w:t xml:space="preserve">та/або 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>робоча група в межах своїх повноважень мож</w:t>
      </w:r>
      <w:r w:rsidR="00412925">
        <w:rPr>
          <w:rFonts w:ascii="Times New Roman" w:eastAsia="Times New Roman" w:hAnsi="Times New Roman" w:cs="Times New Roman"/>
          <w:sz w:val="28"/>
          <w:szCs w:val="28"/>
        </w:rPr>
        <w:t>уть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прийняти </w:t>
      </w:r>
      <w:r w:rsidR="00723997">
        <w:rPr>
          <w:rFonts w:ascii="Times New Roman" w:eastAsia="Times New Roman" w:hAnsi="Times New Roman" w:cs="Times New Roman"/>
          <w:sz w:val="28"/>
          <w:szCs w:val="28"/>
        </w:rPr>
        <w:t xml:space="preserve">один з таких 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>висновк</w:t>
      </w:r>
      <w:r w:rsidR="00723997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та рекомендації:</w:t>
      </w:r>
    </w:p>
    <w:p w:rsidR="008E41ED" w:rsidRPr="00D53095" w:rsidRDefault="008E41ED" w:rsidP="00D53095">
      <w:pPr>
        <w:pStyle w:val="normal"/>
        <w:tabs>
          <w:tab w:val="left" w:pos="970"/>
        </w:tabs>
        <w:spacing w:line="240" w:lineRule="auto"/>
        <w:ind w:right="20" w:firstLine="567"/>
        <w:jc w:val="both"/>
        <w:rPr>
          <w:sz w:val="28"/>
          <w:szCs w:val="28"/>
        </w:rPr>
      </w:pPr>
    </w:p>
    <w:p w:rsidR="00D53095" w:rsidRPr="00D53095" w:rsidRDefault="00D53095" w:rsidP="00D53095">
      <w:pPr>
        <w:pStyle w:val="normal"/>
        <w:numPr>
          <w:ilvl w:val="1"/>
          <w:numId w:val="17"/>
        </w:numPr>
        <w:tabs>
          <w:tab w:val="left" w:pos="999"/>
        </w:tabs>
        <w:spacing w:line="240" w:lineRule="auto"/>
        <w:ind w:left="20" w:right="20" w:firstLine="580"/>
        <w:jc w:val="both"/>
        <w:rPr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>підтримати експертні пропозиції та, за необхідності, відповідальному виконавчому органу ради підготувати проєкт ріш</w:t>
      </w:r>
      <w:r w:rsidR="00330983">
        <w:rPr>
          <w:rFonts w:ascii="Times New Roman" w:eastAsia="Times New Roman" w:hAnsi="Times New Roman" w:cs="Times New Roman"/>
          <w:sz w:val="28"/>
          <w:szCs w:val="28"/>
        </w:rPr>
        <w:t>ення Луцької міської ради чи її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комітету з цього питання</w:t>
      </w:r>
      <w:r w:rsidR="00723997">
        <w:rPr>
          <w:rFonts w:ascii="Times New Roman" w:eastAsia="Times New Roman" w:hAnsi="Times New Roman" w:cs="Times New Roman"/>
          <w:sz w:val="28"/>
          <w:szCs w:val="28"/>
        </w:rPr>
        <w:t xml:space="preserve"> або </w:t>
      </w:r>
      <w:r w:rsidR="0072399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рекомендувати 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>відповідальному виконавчому органу ради підготувати проєкт ріш</w:t>
      </w:r>
      <w:r w:rsidR="00E90495">
        <w:rPr>
          <w:rFonts w:ascii="Times New Roman" w:eastAsia="Times New Roman" w:hAnsi="Times New Roman" w:cs="Times New Roman"/>
          <w:sz w:val="28"/>
          <w:szCs w:val="28"/>
        </w:rPr>
        <w:t>ення Луцької міської ради чи її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комітету з цього питання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53095" w:rsidRPr="00D53095" w:rsidRDefault="00D53095" w:rsidP="00D53095">
      <w:pPr>
        <w:pStyle w:val="normal"/>
        <w:numPr>
          <w:ilvl w:val="1"/>
          <w:numId w:val="17"/>
        </w:numPr>
        <w:tabs>
          <w:tab w:val="left" w:pos="889"/>
        </w:tabs>
        <w:spacing w:line="240" w:lineRule="auto"/>
        <w:ind w:left="20" w:right="20" w:firstLine="580"/>
        <w:jc w:val="both"/>
        <w:rPr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підтримати експертні пропозиції частково (з обґрунтуванням такого рішення) та, за необхідності, 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>відповідальному виконавчому органу ради підготувати проєкт ріш</w:t>
      </w:r>
      <w:r w:rsidR="00E90495">
        <w:rPr>
          <w:rFonts w:ascii="Times New Roman" w:eastAsia="Times New Roman" w:hAnsi="Times New Roman" w:cs="Times New Roman"/>
          <w:sz w:val="28"/>
          <w:szCs w:val="28"/>
        </w:rPr>
        <w:t>ення Луцької міської ради чи її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комітету з цього питання</w:t>
      </w:r>
      <w:r w:rsidR="00E90495">
        <w:rPr>
          <w:rFonts w:ascii="Times New Roman" w:eastAsia="Times New Roman" w:hAnsi="Times New Roman" w:cs="Times New Roman"/>
          <w:sz w:val="28"/>
          <w:szCs w:val="28"/>
        </w:rPr>
        <w:t xml:space="preserve"> або рекомендувати 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>відповідальному виконавчому органу ради підготувати проєкт ріш</w:t>
      </w:r>
      <w:r w:rsidR="00E90495">
        <w:rPr>
          <w:rFonts w:ascii="Times New Roman" w:eastAsia="Times New Roman" w:hAnsi="Times New Roman" w:cs="Times New Roman"/>
          <w:sz w:val="28"/>
          <w:szCs w:val="28"/>
        </w:rPr>
        <w:t>ення Луцької міської ради чи її</w:t>
      </w:r>
      <w:r w:rsidR="00E90495" w:rsidRPr="00D53095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комітету з цього питання;</w:t>
      </w:r>
    </w:p>
    <w:p w:rsidR="00D53095" w:rsidRPr="00D53095" w:rsidRDefault="00D53095" w:rsidP="00D53095">
      <w:pPr>
        <w:pStyle w:val="normal"/>
        <w:numPr>
          <w:ilvl w:val="1"/>
          <w:numId w:val="17"/>
        </w:numPr>
        <w:tabs>
          <w:tab w:val="left" w:pos="859"/>
        </w:tabs>
        <w:spacing w:line="240" w:lineRule="auto"/>
        <w:ind w:left="20" w:firstLine="580"/>
        <w:jc w:val="both"/>
        <w:rPr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>відхилити експертні пропозиції з обґрунтуванням такого рішення.</w:t>
      </w:r>
    </w:p>
    <w:p w:rsidR="00087DEE" w:rsidRPr="00D53095" w:rsidRDefault="00D53095" w:rsidP="00EE2827">
      <w:pPr>
        <w:pStyle w:val="normal"/>
        <w:spacing w:line="240" w:lineRule="auto"/>
        <w:ind w:left="20"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095">
        <w:rPr>
          <w:rFonts w:ascii="Times New Roman" w:eastAsia="Times New Roman" w:hAnsi="Times New Roman" w:cs="Times New Roman"/>
          <w:sz w:val="28"/>
          <w:szCs w:val="28"/>
        </w:rPr>
        <w:t>Висновки та рекомендації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7DEE">
        <w:rPr>
          <w:rFonts w:ascii="Times New Roman" w:eastAsia="Times New Roman" w:hAnsi="Times New Roman" w:cs="Times New Roman"/>
          <w:sz w:val="28"/>
          <w:szCs w:val="28"/>
        </w:rPr>
        <w:t>відповідального виконавчо</w:t>
      </w:r>
      <w:r w:rsidR="00330983">
        <w:rPr>
          <w:rFonts w:ascii="Times New Roman" w:eastAsia="Times New Roman" w:hAnsi="Times New Roman" w:cs="Times New Roman"/>
          <w:sz w:val="28"/>
          <w:szCs w:val="28"/>
        </w:rPr>
        <w:t xml:space="preserve">го органу (чи посадової особи) </w:t>
      </w:r>
      <w:r w:rsidR="00087DEE">
        <w:rPr>
          <w:rFonts w:ascii="Times New Roman" w:eastAsia="Times New Roman" w:hAnsi="Times New Roman" w:cs="Times New Roman"/>
          <w:sz w:val="28"/>
          <w:szCs w:val="28"/>
        </w:rPr>
        <w:t xml:space="preserve">та/або </w:t>
      </w:r>
      <w:r>
        <w:rPr>
          <w:rFonts w:ascii="Times New Roman" w:eastAsia="Times New Roman" w:hAnsi="Times New Roman" w:cs="Times New Roman"/>
          <w:sz w:val="28"/>
          <w:szCs w:val="28"/>
        </w:rPr>
        <w:t>робочої групи</w:t>
      </w:r>
      <w:r w:rsidRPr="00D53095">
        <w:rPr>
          <w:rFonts w:ascii="Times New Roman" w:eastAsia="Times New Roman" w:hAnsi="Times New Roman" w:cs="Times New Roman"/>
          <w:sz w:val="28"/>
          <w:szCs w:val="28"/>
        </w:rPr>
        <w:t xml:space="preserve"> про результати розгляду експертних пропозицій надсилаються Луцькому міському голові для ознайомлення, а також надсилаються письмово на</w:t>
      </w:r>
      <w:r w:rsidR="00EE2827">
        <w:rPr>
          <w:rFonts w:ascii="Times New Roman" w:eastAsia="Times New Roman" w:hAnsi="Times New Roman" w:cs="Times New Roman"/>
          <w:sz w:val="28"/>
          <w:szCs w:val="28"/>
        </w:rPr>
        <w:t xml:space="preserve"> зазначену ІГС адресу та</w:t>
      </w:r>
      <w:r w:rsidR="00087DEE" w:rsidRPr="00D53095">
        <w:rPr>
          <w:rFonts w:ascii="Times New Roman" w:eastAsia="Times New Roman" w:hAnsi="Times New Roman" w:cs="Times New Roman"/>
          <w:sz w:val="28"/>
          <w:szCs w:val="28"/>
        </w:rPr>
        <w:t xml:space="preserve"> розміщуються на офіційному сайті міської ради не пізніше, ніж через 5 робочих днів з моменту </w:t>
      </w:r>
      <w:r w:rsidR="00087DEE">
        <w:rPr>
          <w:rFonts w:ascii="Times New Roman" w:eastAsia="Times New Roman" w:hAnsi="Times New Roman" w:cs="Times New Roman"/>
          <w:sz w:val="28"/>
          <w:szCs w:val="28"/>
        </w:rPr>
        <w:t>їх розгляду</w:t>
      </w:r>
      <w:r w:rsidR="00087DEE" w:rsidRPr="00D530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3095" w:rsidRDefault="00D53095" w:rsidP="00D53095">
      <w:pPr>
        <w:pStyle w:val="normal"/>
        <w:spacing w:line="240" w:lineRule="auto"/>
        <w:ind w:left="20"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095" w:rsidRDefault="00D53095" w:rsidP="00311107">
      <w:pPr>
        <w:pStyle w:val="normal"/>
        <w:tabs>
          <w:tab w:val="left" w:pos="567"/>
          <w:tab w:val="center" w:pos="840"/>
          <w:tab w:val="left" w:pos="874"/>
          <w:tab w:val="left" w:pos="1004"/>
          <w:tab w:val="left" w:pos="1671"/>
        </w:tabs>
        <w:spacing w:line="240" w:lineRule="auto"/>
        <w:ind w:right="2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p w:rsidR="00801783" w:rsidRPr="002659A7" w:rsidRDefault="00801783" w:rsidP="002659A7">
      <w:pPr>
        <w:pStyle w:val="normal"/>
        <w:tabs>
          <w:tab w:val="left" w:pos="567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</w:p>
    <w:sectPr w:rsidR="00801783" w:rsidRPr="002659A7" w:rsidSect="002659A7">
      <w:headerReference w:type="default" r:id="rId8"/>
      <w:pgSz w:w="11909" w:h="16834"/>
      <w:pgMar w:top="1134" w:right="567" w:bottom="1134" w:left="1985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ABF" w:rsidRDefault="00EC0ABF" w:rsidP="002659A7">
      <w:pPr>
        <w:spacing w:line="240" w:lineRule="auto"/>
      </w:pPr>
      <w:r>
        <w:separator/>
      </w:r>
    </w:p>
  </w:endnote>
  <w:endnote w:type="continuationSeparator" w:id="1">
    <w:p w:rsidR="00EC0ABF" w:rsidRDefault="00EC0ABF" w:rsidP="00265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ABF" w:rsidRDefault="00EC0ABF" w:rsidP="002659A7">
      <w:pPr>
        <w:spacing w:line="240" w:lineRule="auto"/>
      </w:pPr>
      <w:r>
        <w:separator/>
      </w:r>
    </w:p>
  </w:footnote>
  <w:footnote w:type="continuationSeparator" w:id="1">
    <w:p w:rsidR="00EC0ABF" w:rsidRDefault="00EC0ABF" w:rsidP="002659A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793672"/>
      <w:docPartObj>
        <w:docPartGallery w:val="Page Numbers (Top of Page)"/>
        <w:docPartUnique/>
      </w:docPartObj>
    </w:sdtPr>
    <w:sdtContent>
      <w:p w:rsidR="002659A7" w:rsidRDefault="0013311B">
        <w:pPr>
          <w:pStyle w:val="ad"/>
          <w:jc w:val="center"/>
        </w:pPr>
        <w:fldSimple w:instr=" PAGE   \* MERGEFORMAT ">
          <w:r w:rsidR="006136D3">
            <w:rPr>
              <w:noProof/>
            </w:rPr>
            <w:t>2</w:t>
          </w:r>
        </w:fldSimple>
      </w:p>
    </w:sdtContent>
  </w:sdt>
  <w:p w:rsidR="002659A7" w:rsidRDefault="002659A7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62492"/>
    <w:multiLevelType w:val="multilevel"/>
    <w:tmpl w:val="38767F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F1E3F"/>
    <w:multiLevelType w:val="hybridMultilevel"/>
    <w:tmpl w:val="39BA09D4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E6E3703"/>
    <w:multiLevelType w:val="multilevel"/>
    <w:tmpl w:val="EB0E28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>
    <w:nsid w:val="127664EF"/>
    <w:multiLevelType w:val="multilevel"/>
    <w:tmpl w:val="DF5A17B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A9D260E"/>
    <w:multiLevelType w:val="multilevel"/>
    <w:tmpl w:val="33F23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92E0C"/>
    <w:multiLevelType w:val="multilevel"/>
    <w:tmpl w:val="62A4A82E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>
    <w:nsid w:val="1CD12B47"/>
    <w:multiLevelType w:val="multilevel"/>
    <w:tmpl w:val="096E23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E24AD"/>
    <w:multiLevelType w:val="multilevel"/>
    <w:tmpl w:val="8996AAC2"/>
    <w:lvl w:ilvl="0">
      <w:start w:val="1"/>
      <w:numFmt w:val="decimal"/>
      <w:lvlText w:val="%1."/>
      <w:lvlJc w:val="left"/>
      <w:pPr>
        <w:ind w:left="1093" w:hanging="360"/>
      </w:pPr>
    </w:lvl>
    <w:lvl w:ilvl="1">
      <w:start w:val="1"/>
      <w:numFmt w:val="lowerLetter"/>
      <w:lvlText w:val="%2."/>
      <w:lvlJc w:val="left"/>
      <w:pPr>
        <w:ind w:left="1813" w:hanging="360"/>
      </w:pPr>
    </w:lvl>
    <w:lvl w:ilvl="2">
      <w:start w:val="1"/>
      <w:numFmt w:val="lowerRoman"/>
      <w:lvlText w:val="%3."/>
      <w:lvlJc w:val="right"/>
      <w:pPr>
        <w:ind w:left="2533" w:hanging="180"/>
      </w:pPr>
    </w:lvl>
    <w:lvl w:ilvl="3">
      <w:start w:val="1"/>
      <w:numFmt w:val="decimal"/>
      <w:lvlText w:val="%4."/>
      <w:lvlJc w:val="left"/>
      <w:pPr>
        <w:ind w:left="3253" w:hanging="360"/>
      </w:pPr>
    </w:lvl>
    <w:lvl w:ilvl="4">
      <w:start w:val="1"/>
      <w:numFmt w:val="lowerLetter"/>
      <w:lvlText w:val="%5."/>
      <w:lvlJc w:val="left"/>
      <w:pPr>
        <w:ind w:left="3973" w:hanging="360"/>
      </w:pPr>
    </w:lvl>
    <w:lvl w:ilvl="5">
      <w:start w:val="1"/>
      <w:numFmt w:val="lowerRoman"/>
      <w:lvlText w:val="%6."/>
      <w:lvlJc w:val="right"/>
      <w:pPr>
        <w:ind w:left="4693" w:hanging="180"/>
      </w:pPr>
    </w:lvl>
    <w:lvl w:ilvl="6">
      <w:start w:val="1"/>
      <w:numFmt w:val="decimal"/>
      <w:lvlText w:val="%7."/>
      <w:lvlJc w:val="left"/>
      <w:pPr>
        <w:ind w:left="5413" w:hanging="360"/>
      </w:pPr>
    </w:lvl>
    <w:lvl w:ilvl="7">
      <w:start w:val="1"/>
      <w:numFmt w:val="lowerLetter"/>
      <w:lvlText w:val="%8."/>
      <w:lvlJc w:val="left"/>
      <w:pPr>
        <w:ind w:left="6133" w:hanging="360"/>
      </w:pPr>
    </w:lvl>
    <w:lvl w:ilvl="8">
      <w:start w:val="1"/>
      <w:numFmt w:val="lowerRoman"/>
      <w:lvlText w:val="%9."/>
      <w:lvlJc w:val="right"/>
      <w:pPr>
        <w:ind w:left="6853" w:hanging="180"/>
      </w:pPr>
    </w:lvl>
  </w:abstractNum>
  <w:abstractNum w:abstractNumId="8">
    <w:nsid w:val="20FB656C"/>
    <w:multiLevelType w:val="multilevel"/>
    <w:tmpl w:val="3E9442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E5235"/>
    <w:multiLevelType w:val="hybridMultilevel"/>
    <w:tmpl w:val="E5A6B908"/>
    <w:lvl w:ilvl="0" w:tplc="F7EE13B2">
      <w:start w:val="13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7FA6658"/>
    <w:multiLevelType w:val="multilevel"/>
    <w:tmpl w:val="705842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1">
    <w:nsid w:val="2E133AE3"/>
    <w:multiLevelType w:val="multilevel"/>
    <w:tmpl w:val="D2EE79A6"/>
    <w:lvl w:ilvl="0">
      <w:start w:val="1"/>
      <w:numFmt w:val="decimal"/>
      <w:lvlText w:val="%1."/>
      <w:lvlJc w:val="left"/>
      <w:pPr>
        <w:ind w:left="733" w:hanging="360"/>
      </w:pPr>
    </w:lvl>
    <w:lvl w:ilvl="1">
      <w:start w:val="1"/>
      <w:numFmt w:val="lowerLetter"/>
      <w:lvlText w:val="%2."/>
      <w:lvlJc w:val="left"/>
      <w:pPr>
        <w:ind w:left="1453" w:hanging="360"/>
      </w:pPr>
    </w:lvl>
    <w:lvl w:ilvl="2">
      <w:start w:val="1"/>
      <w:numFmt w:val="lowerRoman"/>
      <w:lvlText w:val="%3."/>
      <w:lvlJc w:val="right"/>
      <w:pPr>
        <w:ind w:left="2173" w:hanging="180"/>
      </w:pPr>
    </w:lvl>
    <w:lvl w:ilvl="3">
      <w:start w:val="1"/>
      <w:numFmt w:val="decimal"/>
      <w:lvlText w:val="%4."/>
      <w:lvlJc w:val="left"/>
      <w:pPr>
        <w:ind w:left="2893" w:hanging="360"/>
      </w:pPr>
    </w:lvl>
    <w:lvl w:ilvl="4">
      <w:start w:val="1"/>
      <w:numFmt w:val="lowerLetter"/>
      <w:lvlText w:val="%5."/>
      <w:lvlJc w:val="left"/>
      <w:pPr>
        <w:ind w:left="3613" w:hanging="360"/>
      </w:pPr>
    </w:lvl>
    <w:lvl w:ilvl="5">
      <w:start w:val="1"/>
      <w:numFmt w:val="lowerRoman"/>
      <w:lvlText w:val="%6."/>
      <w:lvlJc w:val="right"/>
      <w:pPr>
        <w:ind w:left="4333" w:hanging="180"/>
      </w:pPr>
    </w:lvl>
    <w:lvl w:ilvl="6">
      <w:start w:val="1"/>
      <w:numFmt w:val="decimal"/>
      <w:lvlText w:val="%7."/>
      <w:lvlJc w:val="left"/>
      <w:pPr>
        <w:ind w:left="5053" w:hanging="360"/>
      </w:pPr>
    </w:lvl>
    <w:lvl w:ilvl="7">
      <w:start w:val="1"/>
      <w:numFmt w:val="lowerLetter"/>
      <w:lvlText w:val="%8."/>
      <w:lvlJc w:val="left"/>
      <w:pPr>
        <w:ind w:left="5773" w:hanging="360"/>
      </w:pPr>
    </w:lvl>
    <w:lvl w:ilvl="8">
      <w:start w:val="1"/>
      <w:numFmt w:val="lowerRoman"/>
      <w:lvlText w:val="%9."/>
      <w:lvlJc w:val="right"/>
      <w:pPr>
        <w:ind w:left="6493" w:hanging="180"/>
      </w:pPr>
    </w:lvl>
  </w:abstractNum>
  <w:abstractNum w:abstractNumId="12">
    <w:nsid w:val="2E676C3C"/>
    <w:multiLevelType w:val="multilevel"/>
    <w:tmpl w:val="77FA42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312B033F"/>
    <w:multiLevelType w:val="multilevel"/>
    <w:tmpl w:val="6BD8D2B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3301655A"/>
    <w:multiLevelType w:val="multilevel"/>
    <w:tmpl w:val="EBF817BE"/>
    <w:lvl w:ilvl="0">
      <w:start w:val="1"/>
      <w:numFmt w:val="decimal"/>
      <w:lvlText w:val="%1."/>
      <w:lvlJc w:val="left"/>
      <w:pPr>
        <w:ind w:left="820" w:hanging="360"/>
      </w:p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15">
    <w:nsid w:val="35EE28C5"/>
    <w:multiLevelType w:val="multilevel"/>
    <w:tmpl w:val="8152A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07FF0"/>
    <w:multiLevelType w:val="multilevel"/>
    <w:tmpl w:val="F874FD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F96BF4"/>
    <w:multiLevelType w:val="multilevel"/>
    <w:tmpl w:val="94447B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3E6D241E"/>
    <w:multiLevelType w:val="multilevel"/>
    <w:tmpl w:val="44503BE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48077BD1"/>
    <w:multiLevelType w:val="multilevel"/>
    <w:tmpl w:val="B94085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36D56"/>
    <w:multiLevelType w:val="multilevel"/>
    <w:tmpl w:val="7F4E556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1">
    <w:nsid w:val="4DD34BEB"/>
    <w:multiLevelType w:val="multilevel"/>
    <w:tmpl w:val="68C23630"/>
    <w:lvl w:ilvl="0">
      <w:start w:val="2"/>
      <w:numFmt w:val="decimal"/>
      <w:lvlText w:val="%1."/>
      <w:lvlJc w:val="left"/>
      <w:pPr>
        <w:ind w:left="1014" w:hanging="360"/>
      </w:pPr>
    </w:lvl>
    <w:lvl w:ilvl="1">
      <w:start w:val="1"/>
      <w:numFmt w:val="lowerLetter"/>
      <w:lvlText w:val="%2."/>
      <w:lvlJc w:val="left"/>
      <w:pPr>
        <w:ind w:left="1734" w:hanging="360"/>
      </w:pPr>
    </w:lvl>
    <w:lvl w:ilvl="2">
      <w:start w:val="1"/>
      <w:numFmt w:val="lowerRoman"/>
      <w:lvlText w:val="%3."/>
      <w:lvlJc w:val="right"/>
      <w:pPr>
        <w:ind w:left="2454" w:hanging="180"/>
      </w:pPr>
    </w:lvl>
    <w:lvl w:ilvl="3">
      <w:start w:val="1"/>
      <w:numFmt w:val="decimal"/>
      <w:lvlText w:val="%4."/>
      <w:lvlJc w:val="left"/>
      <w:pPr>
        <w:ind w:left="3174" w:hanging="360"/>
      </w:pPr>
    </w:lvl>
    <w:lvl w:ilvl="4">
      <w:start w:val="1"/>
      <w:numFmt w:val="lowerLetter"/>
      <w:lvlText w:val="%5."/>
      <w:lvlJc w:val="left"/>
      <w:pPr>
        <w:ind w:left="3894" w:hanging="360"/>
      </w:pPr>
    </w:lvl>
    <w:lvl w:ilvl="5">
      <w:start w:val="1"/>
      <w:numFmt w:val="lowerRoman"/>
      <w:lvlText w:val="%6."/>
      <w:lvlJc w:val="right"/>
      <w:pPr>
        <w:ind w:left="4614" w:hanging="180"/>
      </w:pPr>
    </w:lvl>
    <w:lvl w:ilvl="6">
      <w:start w:val="1"/>
      <w:numFmt w:val="decimal"/>
      <w:lvlText w:val="%7."/>
      <w:lvlJc w:val="left"/>
      <w:pPr>
        <w:ind w:left="5334" w:hanging="360"/>
      </w:pPr>
    </w:lvl>
    <w:lvl w:ilvl="7">
      <w:start w:val="1"/>
      <w:numFmt w:val="lowerLetter"/>
      <w:lvlText w:val="%8."/>
      <w:lvlJc w:val="left"/>
      <w:pPr>
        <w:ind w:left="6054" w:hanging="360"/>
      </w:pPr>
    </w:lvl>
    <w:lvl w:ilvl="8">
      <w:start w:val="1"/>
      <w:numFmt w:val="lowerRoman"/>
      <w:lvlText w:val="%9."/>
      <w:lvlJc w:val="right"/>
      <w:pPr>
        <w:ind w:left="6774" w:hanging="180"/>
      </w:pPr>
    </w:lvl>
  </w:abstractNum>
  <w:abstractNum w:abstractNumId="22">
    <w:nsid w:val="560E1918"/>
    <w:multiLevelType w:val="multilevel"/>
    <w:tmpl w:val="AD1222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32474C"/>
    <w:multiLevelType w:val="multilevel"/>
    <w:tmpl w:val="CA20C1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420D3"/>
    <w:multiLevelType w:val="multilevel"/>
    <w:tmpl w:val="BFC46A5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5">
    <w:nsid w:val="69617E32"/>
    <w:multiLevelType w:val="multilevel"/>
    <w:tmpl w:val="4DEA7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69E96AA5"/>
    <w:multiLevelType w:val="multilevel"/>
    <w:tmpl w:val="07524ADC"/>
    <w:lvl w:ilvl="0">
      <w:start w:val="1"/>
      <w:numFmt w:val="decimal"/>
      <w:lvlText w:val="%1."/>
      <w:lvlJc w:val="left"/>
      <w:pPr>
        <w:ind w:left="1093" w:hanging="360"/>
      </w:pPr>
    </w:lvl>
    <w:lvl w:ilvl="1">
      <w:start w:val="1"/>
      <w:numFmt w:val="lowerLetter"/>
      <w:lvlText w:val="%2."/>
      <w:lvlJc w:val="left"/>
      <w:pPr>
        <w:ind w:left="1813" w:hanging="360"/>
      </w:pPr>
    </w:lvl>
    <w:lvl w:ilvl="2">
      <w:start w:val="1"/>
      <w:numFmt w:val="lowerRoman"/>
      <w:lvlText w:val="%3."/>
      <w:lvlJc w:val="right"/>
      <w:pPr>
        <w:ind w:left="2533" w:hanging="180"/>
      </w:pPr>
    </w:lvl>
    <w:lvl w:ilvl="3">
      <w:start w:val="1"/>
      <w:numFmt w:val="decimal"/>
      <w:lvlText w:val="%4."/>
      <w:lvlJc w:val="left"/>
      <w:pPr>
        <w:ind w:left="3253" w:hanging="360"/>
      </w:pPr>
    </w:lvl>
    <w:lvl w:ilvl="4">
      <w:start w:val="1"/>
      <w:numFmt w:val="lowerLetter"/>
      <w:lvlText w:val="%5."/>
      <w:lvlJc w:val="left"/>
      <w:pPr>
        <w:ind w:left="3973" w:hanging="360"/>
      </w:pPr>
    </w:lvl>
    <w:lvl w:ilvl="5">
      <w:start w:val="1"/>
      <w:numFmt w:val="lowerRoman"/>
      <w:lvlText w:val="%6."/>
      <w:lvlJc w:val="right"/>
      <w:pPr>
        <w:ind w:left="4693" w:hanging="180"/>
      </w:pPr>
    </w:lvl>
    <w:lvl w:ilvl="6">
      <w:start w:val="1"/>
      <w:numFmt w:val="decimal"/>
      <w:lvlText w:val="%7."/>
      <w:lvlJc w:val="left"/>
      <w:pPr>
        <w:ind w:left="5413" w:hanging="360"/>
      </w:pPr>
    </w:lvl>
    <w:lvl w:ilvl="7">
      <w:start w:val="1"/>
      <w:numFmt w:val="lowerLetter"/>
      <w:lvlText w:val="%8."/>
      <w:lvlJc w:val="left"/>
      <w:pPr>
        <w:ind w:left="6133" w:hanging="360"/>
      </w:pPr>
    </w:lvl>
    <w:lvl w:ilvl="8">
      <w:start w:val="1"/>
      <w:numFmt w:val="lowerRoman"/>
      <w:lvlText w:val="%9."/>
      <w:lvlJc w:val="right"/>
      <w:pPr>
        <w:ind w:left="6853" w:hanging="180"/>
      </w:pPr>
    </w:lvl>
  </w:abstractNum>
  <w:abstractNum w:abstractNumId="27">
    <w:nsid w:val="6D593774"/>
    <w:multiLevelType w:val="multilevel"/>
    <w:tmpl w:val="418881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530557"/>
    <w:multiLevelType w:val="multilevel"/>
    <w:tmpl w:val="351CFBA2"/>
    <w:lvl w:ilvl="0">
      <w:start w:val="1"/>
      <w:numFmt w:val="decimal"/>
      <w:lvlText w:val="%1)"/>
      <w:lvlJc w:val="left"/>
      <w:pPr>
        <w:ind w:left="1093" w:hanging="360"/>
      </w:pPr>
    </w:lvl>
    <w:lvl w:ilvl="1">
      <w:start w:val="1"/>
      <w:numFmt w:val="lowerLetter"/>
      <w:lvlText w:val="%2."/>
      <w:lvlJc w:val="left"/>
      <w:pPr>
        <w:ind w:left="1813" w:hanging="360"/>
      </w:pPr>
    </w:lvl>
    <w:lvl w:ilvl="2">
      <w:start w:val="1"/>
      <w:numFmt w:val="lowerRoman"/>
      <w:lvlText w:val="%3."/>
      <w:lvlJc w:val="right"/>
      <w:pPr>
        <w:ind w:left="2533" w:hanging="180"/>
      </w:pPr>
    </w:lvl>
    <w:lvl w:ilvl="3">
      <w:start w:val="1"/>
      <w:numFmt w:val="decimal"/>
      <w:lvlText w:val="%4."/>
      <w:lvlJc w:val="left"/>
      <w:pPr>
        <w:ind w:left="3253" w:hanging="360"/>
      </w:pPr>
    </w:lvl>
    <w:lvl w:ilvl="4">
      <w:start w:val="1"/>
      <w:numFmt w:val="lowerLetter"/>
      <w:lvlText w:val="%5."/>
      <w:lvlJc w:val="left"/>
      <w:pPr>
        <w:ind w:left="3973" w:hanging="360"/>
      </w:pPr>
    </w:lvl>
    <w:lvl w:ilvl="5">
      <w:start w:val="1"/>
      <w:numFmt w:val="lowerRoman"/>
      <w:lvlText w:val="%6."/>
      <w:lvlJc w:val="right"/>
      <w:pPr>
        <w:ind w:left="4693" w:hanging="180"/>
      </w:pPr>
    </w:lvl>
    <w:lvl w:ilvl="6">
      <w:start w:val="1"/>
      <w:numFmt w:val="decimal"/>
      <w:lvlText w:val="%7."/>
      <w:lvlJc w:val="left"/>
      <w:pPr>
        <w:ind w:left="5413" w:hanging="360"/>
      </w:pPr>
    </w:lvl>
    <w:lvl w:ilvl="7">
      <w:start w:val="1"/>
      <w:numFmt w:val="lowerLetter"/>
      <w:lvlText w:val="%8."/>
      <w:lvlJc w:val="left"/>
      <w:pPr>
        <w:ind w:left="6133" w:hanging="360"/>
      </w:pPr>
    </w:lvl>
    <w:lvl w:ilvl="8">
      <w:start w:val="1"/>
      <w:numFmt w:val="lowerRoman"/>
      <w:lvlText w:val="%9."/>
      <w:lvlJc w:val="right"/>
      <w:pPr>
        <w:ind w:left="6853" w:hanging="180"/>
      </w:pPr>
    </w:lvl>
  </w:abstractNum>
  <w:abstractNum w:abstractNumId="29">
    <w:nsid w:val="7CA75630"/>
    <w:multiLevelType w:val="multilevel"/>
    <w:tmpl w:val="853007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EE0F50"/>
    <w:multiLevelType w:val="multilevel"/>
    <w:tmpl w:val="5692A71A"/>
    <w:lvl w:ilvl="0">
      <w:start w:val="1"/>
      <w:numFmt w:val="decimal"/>
      <w:lvlText w:val="%1)"/>
      <w:lvlJc w:val="left"/>
      <w:pPr>
        <w:ind w:left="1093" w:hanging="360"/>
      </w:pPr>
    </w:lvl>
    <w:lvl w:ilvl="1">
      <w:start w:val="1"/>
      <w:numFmt w:val="lowerLetter"/>
      <w:lvlText w:val="%2."/>
      <w:lvlJc w:val="left"/>
      <w:pPr>
        <w:ind w:left="1813" w:hanging="360"/>
      </w:pPr>
    </w:lvl>
    <w:lvl w:ilvl="2">
      <w:start w:val="1"/>
      <w:numFmt w:val="lowerRoman"/>
      <w:lvlText w:val="%3."/>
      <w:lvlJc w:val="right"/>
      <w:pPr>
        <w:ind w:left="2533" w:hanging="180"/>
      </w:pPr>
    </w:lvl>
    <w:lvl w:ilvl="3">
      <w:start w:val="1"/>
      <w:numFmt w:val="decimal"/>
      <w:lvlText w:val="%4."/>
      <w:lvlJc w:val="left"/>
      <w:pPr>
        <w:ind w:left="3253" w:hanging="360"/>
      </w:pPr>
    </w:lvl>
    <w:lvl w:ilvl="4">
      <w:start w:val="1"/>
      <w:numFmt w:val="lowerLetter"/>
      <w:lvlText w:val="%5."/>
      <w:lvlJc w:val="left"/>
      <w:pPr>
        <w:ind w:left="3973" w:hanging="360"/>
      </w:pPr>
    </w:lvl>
    <w:lvl w:ilvl="5">
      <w:start w:val="1"/>
      <w:numFmt w:val="lowerRoman"/>
      <w:lvlText w:val="%6."/>
      <w:lvlJc w:val="right"/>
      <w:pPr>
        <w:ind w:left="4693" w:hanging="180"/>
      </w:pPr>
    </w:lvl>
    <w:lvl w:ilvl="6">
      <w:start w:val="1"/>
      <w:numFmt w:val="decimal"/>
      <w:lvlText w:val="%7."/>
      <w:lvlJc w:val="left"/>
      <w:pPr>
        <w:ind w:left="5413" w:hanging="360"/>
      </w:pPr>
    </w:lvl>
    <w:lvl w:ilvl="7">
      <w:start w:val="1"/>
      <w:numFmt w:val="lowerLetter"/>
      <w:lvlText w:val="%8."/>
      <w:lvlJc w:val="left"/>
      <w:pPr>
        <w:ind w:left="6133" w:hanging="360"/>
      </w:pPr>
    </w:lvl>
    <w:lvl w:ilvl="8">
      <w:start w:val="1"/>
      <w:numFmt w:val="lowerRoman"/>
      <w:lvlText w:val="%9."/>
      <w:lvlJc w:val="right"/>
      <w:pPr>
        <w:ind w:left="6853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8"/>
  </w:num>
  <w:num w:numId="5">
    <w:abstractNumId w:val="22"/>
  </w:num>
  <w:num w:numId="6">
    <w:abstractNumId w:val="16"/>
  </w:num>
  <w:num w:numId="7">
    <w:abstractNumId w:val="21"/>
  </w:num>
  <w:num w:numId="8">
    <w:abstractNumId w:val="13"/>
  </w:num>
  <w:num w:numId="9">
    <w:abstractNumId w:val="30"/>
  </w:num>
  <w:num w:numId="10">
    <w:abstractNumId w:val="5"/>
  </w:num>
  <w:num w:numId="11">
    <w:abstractNumId w:val="18"/>
  </w:num>
  <w:num w:numId="12">
    <w:abstractNumId w:val="0"/>
  </w:num>
  <w:num w:numId="13">
    <w:abstractNumId w:val="15"/>
  </w:num>
  <w:num w:numId="14">
    <w:abstractNumId w:val="19"/>
  </w:num>
  <w:num w:numId="15">
    <w:abstractNumId w:val="25"/>
  </w:num>
  <w:num w:numId="16">
    <w:abstractNumId w:val="14"/>
  </w:num>
  <w:num w:numId="17">
    <w:abstractNumId w:val="2"/>
  </w:num>
  <w:num w:numId="18">
    <w:abstractNumId w:val="28"/>
  </w:num>
  <w:num w:numId="19">
    <w:abstractNumId w:val="29"/>
  </w:num>
  <w:num w:numId="20">
    <w:abstractNumId w:val="20"/>
  </w:num>
  <w:num w:numId="21">
    <w:abstractNumId w:val="26"/>
  </w:num>
  <w:num w:numId="22">
    <w:abstractNumId w:val="6"/>
  </w:num>
  <w:num w:numId="23">
    <w:abstractNumId w:val="17"/>
  </w:num>
  <w:num w:numId="24">
    <w:abstractNumId w:val="4"/>
  </w:num>
  <w:num w:numId="25">
    <w:abstractNumId w:val="23"/>
  </w:num>
  <w:num w:numId="26">
    <w:abstractNumId w:val="27"/>
  </w:num>
  <w:num w:numId="27">
    <w:abstractNumId w:val="3"/>
  </w:num>
  <w:num w:numId="28">
    <w:abstractNumId w:val="1"/>
  </w:num>
  <w:num w:numId="29">
    <w:abstractNumId w:val="10"/>
  </w:num>
  <w:num w:numId="30">
    <w:abstractNumId w:val="24"/>
  </w:num>
  <w:num w:numId="3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1783"/>
    <w:rsid w:val="00012204"/>
    <w:rsid w:val="00016AFE"/>
    <w:rsid w:val="00042AD1"/>
    <w:rsid w:val="00053F94"/>
    <w:rsid w:val="00087DEE"/>
    <w:rsid w:val="00091610"/>
    <w:rsid w:val="000D6012"/>
    <w:rsid w:val="000F5953"/>
    <w:rsid w:val="0013311B"/>
    <w:rsid w:val="00163C8A"/>
    <w:rsid w:val="0018334F"/>
    <w:rsid w:val="001B52EF"/>
    <w:rsid w:val="001C6C46"/>
    <w:rsid w:val="001D5F2C"/>
    <w:rsid w:val="00206E96"/>
    <w:rsid w:val="002659A7"/>
    <w:rsid w:val="00292528"/>
    <w:rsid w:val="002A6FD5"/>
    <w:rsid w:val="002B3581"/>
    <w:rsid w:val="002C70B4"/>
    <w:rsid w:val="00311107"/>
    <w:rsid w:val="00325E06"/>
    <w:rsid w:val="00330983"/>
    <w:rsid w:val="003A65A1"/>
    <w:rsid w:val="00412925"/>
    <w:rsid w:val="00440808"/>
    <w:rsid w:val="00460C36"/>
    <w:rsid w:val="004B3E7F"/>
    <w:rsid w:val="004B5F5D"/>
    <w:rsid w:val="004C76C5"/>
    <w:rsid w:val="004F5DDB"/>
    <w:rsid w:val="005004AB"/>
    <w:rsid w:val="005135D0"/>
    <w:rsid w:val="0053315D"/>
    <w:rsid w:val="0056366D"/>
    <w:rsid w:val="00573C34"/>
    <w:rsid w:val="00576F52"/>
    <w:rsid w:val="005D1033"/>
    <w:rsid w:val="00607BE3"/>
    <w:rsid w:val="006136D3"/>
    <w:rsid w:val="0061442D"/>
    <w:rsid w:val="00620834"/>
    <w:rsid w:val="0063435D"/>
    <w:rsid w:val="006A594F"/>
    <w:rsid w:val="006B4F9B"/>
    <w:rsid w:val="006F7A52"/>
    <w:rsid w:val="0071306C"/>
    <w:rsid w:val="007177C9"/>
    <w:rsid w:val="00723997"/>
    <w:rsid w:val="00731609"/>
    <w:rsid w:val="007356EF"/>
    <w:rsid w:val="00742C6F"/>
    <w:rsid w:val="007D772F"/>
    <w:rsid w:val="007E2AC9"/>
    <w:rsid w:val="00801783"/>
    <w:rsid w:val="00804A68"/>
    <w:rsid w:val="008974E5"/>
    <w:rsid w:val="008974F4"/>
    <w:rsid w:val="008A026E"/>
    <w:rsid w:val="008E341F"/>
    <w:rsid w:val="008E41ED"/>
    <w:rsid w:val="00934A65"/>
    <w:rsid w:val="00947CA3"/>
    <w:rsid w:val="00980F71"/>
    <w:rsid w:val="009D15DB"/>
    <w:rsid w:val="00A45382"/>
    <w:rsid w:val="00A52D1C"/>
    <w:rsid w:val="00A66371"/>
    <w:rsid w:val="00A721D4"/>
    <w:rsid w:val="00AA3AB1"/>
    <w:rsid w:val="00AD6E4B"/>
    <w:rsid w:val="00B227FF"/>
    <w:rsid w:val="00B7687F"/>
    <w:rsid w:val="00B81A4C"/>
    <w:rsid w:val="00B83796"/>
    <w:rsid w:val="00BD0299"/>
    <w:rsid w:val="00BF65FB"/>
    <w:rsid w:val="00C36CF9"/>
    <w:rsid w:val="00C911AC"/>
    <w:rsid w:val="00CA36F1"/>
    <w:rsid w:val="00CB3DE8"/>
    <w:rsid w:val="00CE54AD"/>
    <w:rsid w:val="00CF02F4"/>
    <w:rsid w:val="00D245EF"/>
    <w:rsid w:val="00D30A43"/>
    <w:rsid w:val="00D512FE"/>
    <w:rsid w:val="00D53095"/>
    <w:rsid w:val="00D607FF"/>
    <w:rsid w:val="00D845FA"/>
    <w:rsid w:val="00DA6066"/>
    <w:rsid w:val="00DB4045"/>
    <w:rsid w:val="00DB5529"/>
    <w:rsid w:val="00DF037E"/>
    <w:rsid w:val="00E47D64"/>
    <w:rsid w:val="00E529E0"/>
    <w:rsid w:val="00E90495"/>
    <w:rsid w:val="00E9360C"/>
    <w:rsid w:val="00EC0ABF"/>
    <w:rsid w:val="00EE2827"/>
    <w:rsid w:val="00F26CED"/>
    <w:rsid w:val="00F374B2"/>
    <w:rsid w:val="00FC00FC"/>
    <w:rsid w:val="00FC555C"/>
    <w:rsid w:val="00FE0070"/>
    <w:rsid w:val="00FE6B64"/>
    <w:rsid w:val="00FF1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7FF"/>
  </w:style>
  <w:style w:type="paragraph" w:styleId="1">
    <w:name w:val="heading 1"/>
    <w:basedOn w:val="normal"/>
    <w:next w:val="normal"/>
    <w:rsid w:val="0080178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80178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80178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80178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80178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80178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01783"/>
  </w:style>
  <w:style w:type="table" w:customStyle="1" w:styleId="TableNormal">
    <w:name w:val="Table Normal"/>
    <w:rsid w:val="008017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0178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80178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0178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80178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80178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80178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01783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801783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D245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5EF"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rsid w:val="00A66371"/>
    <w:pPr>
      <w:suppressAutoHyphens/>
    </w:pPr>
  </w:style>
  <w:style w:type="paragraph" w:styleId="ad">
    <w:name w:val="header"/>
    <w:basedOn w:val="a"/>
    <w:link w:val="ae"/>
    <w:uiPriority w:val="99"/>
    <w:unhideWhenUsed/>
    <w:rsid w:val="002659A7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659A7"/>
  </w:style>
  <w:style w:type="paragraph" w:styleId="af">
    <w:name w:val="footer"/>
    <w:basedOn w:val="a"/>
    <w:link w:val="af0"/>
    <w:uiPriority w:val="99"/>
    <w:semiHidden/>
    <w:unhideWhenUsed/>
    <w:rsid w:val="002659A7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659A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F1F28-3493-4A00-B5D3-4C6CA0469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</Pages>
  <Words>7177</Words>
  <Characters>4092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 Кучинська</dc:creator>
  <cp:lastModifiedBy>kuchunska</cp:lastModifiedBy>
  <cp:revision>78</cp:revision>
  <cp:lastPrinted>2024-01-31T10:50:00Z</cp:lastPrinted>
  <dcterms:created xsi:type="dcterms:W3CDTF">2023-12-21T09:10:00Z</dcterms:created>
  <dcterms:modified xsi:type="dcterms:W3CDTF">2024-02-13T14:10:00Z</dcterms:modified>
</cp:coreProperties>
</file>