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6.xml" ContentType="application/vnd.openxmlformats-officedocument.wordprocessingml.footer+xml"/>
  <Override PartName="/word/media/image1.jpeg" ContentType="image/jpeg"/>
  <Override PartName="/word/media/image2.png" ContentType="image/png"/>
  <Override PartName="/word/media/image3.png" ContentType="image/png"/>
  <Override PartName="/word/media/image4.png" ContentType="image/png"/>
  <Override PartName="/word/media/image5.jpeg" ContentType="image/jpeg"/>
  <Override PartName="/word/media/image6.png" ContentType="image/png"/>
  <Override PartName="/word/media/image7.png" ContentType="image/png"/>
  <Override PartName="/word/media/image8.jpeg" ContentType="image/jpeg"/>
  <Override PartName="/word/media/image9.png" ContentType="image/png"/>
  <Override PartName="/word/styles.xml" ContentType="application/vnd.openxmlformats-officedocument.wordprocessingml.styl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40.xml" ContentType="application/vnd.openxmlformats-officedocument.drawingml.chart+xml"/>
  <Override PartName="/word/charts/chart9.xml" ContentType="application/vnd.openxmlformats-officedocument.drawingml.chart+xml"/>
  <Override PartName="/word/charts/chart41.xml" ContentType="application/vnd.openxmlformats-officedocument.drawingml.chart+xml"/>
  <Override PartName="/word/charts/chart10.xml" ContentType="application/vnd.openxmlformats-officedocument.drawingml.chart+xml"/>
  <Override PartName="/word/charts/chart32.xml" ContentType="application/vnd.openxmlformats-officedocument.drawingml.chart+xml"/>
  <Override PartName="/word/charts/chart11.xml" ContentType="application/vnd.openxmlformats-officedocument.drawingml.chart+xml"/>
  <Override PartName="/word/charts/chart33.xml" ContentType="application/vnd.openxmlformats-officedocument.drawingml.chart+xml"/>
  <Override PartName="/word/charts/chart12.xml" ContentType="application/vnd.openxmlformats-officedocument.drawingml.chart+xml"/>
  <Override PartName="/word/charts/chart34.xml" ContentType="application/vnd.openxmlformats-officedocument.drawingml.chart+xml"/>
  <Override PartName="/word/charts/chart13.xml" ContentType="application/vnd.openxmlformats-officedocument.drawingml.chart+xml"/>
  <Override PartName="/word/charts/chart35.xml" ContentType="application/vnd.openxmlformats-officedocument.drawingml.chart+xml"/>
  <Override PartName="/word/charts/chart14.xml" ContentType="application/vnd.openxmlformats-officedocument.drawingml.chart+xml"/>
  <Override PartName="/word/charts/chart36.xml" ContentType="application/vnd.openxmlformats-officedocument.drawingml.chart+xml"/>
  <Override PartName="/word/charts/chart15.xml" ContentType="application/vnd.openxmlformats-officedocument.drawingml.chart+xml"/>
  <Override PartName="/word/charts/chart37.xml" ContentType="application/vnd.openxmlformats-officedocument.drawingml.chart+xml"/>
  <Override PartName="/word/charts/chart16.xml" ContentType="application/vnd.openxmlformats-officedocument.drawingml.chart+xml"/>
  <Override PartName="/word/charts/chart38.xml" ContentType="application/vnd.openxmlformats-officedocument.drawingml.chart+xml"/>
  <Override PartName="/word/charts/chart17.xml" ContentType="application/vnd.openxmlformats-officedocument.drawingml.chart+xml"/>
  <Override PartName="/word/charts/chart39.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42.xml" ContentType="application/vnd.openxmlformats-officedocument.drawingml.chart+xml"/>
  <Override PartName="/word/charts/chart21.xml" ContentType="application/vnd.openxmlformats-officedocument.drawingml.chart+xml"/>
  <Override PartName="/word/charts/chart43.xml" ContentType="application/vnd.openxmlformats-officedocument.drawingml.chart+xml"/>
  <Override PartName="/word/charts/chart22.xml" ContentType="application/vnd.openxmlformats-officedocument.drawingml.chart+xml"/>
  <Override PartName="/word/charts/chart44.xml" ContentType="application/vnd.openxmlformats-officedocument.drawingml.chart+xml"/>
  <Override PartName="/word/charts/chart23.xml" ContentType="application/vnd.openxmlformats-officedocument.drawingml.chart+xml"/>
  <Override PartName="/word/charts/chart45.xml" ContentType="application/vnd.openxmlformats-officedocument.drawingml.chart+xml"/>
  <Override PartName="/word/charts/chart24.xml" ContentType="application/vnd.openxmlformats-officedocument.drawingml.chart+xml"/>
  <Override PartName="/word/charts/chart46.xml" ContentType="application/vnd.openxmlformats-officedocument.drawingml.chart+xml"/>
  <Override PartName="/word/charts/chart25.xml" ContentType="application/vnd.openxmlformats-officedocument.drawingml.chart+xml"/>
  <Override PartName="/word/charts/chart47.xml" ContentType="application/vnd.openxmlformats-officedocument.drawingml.chart+xml"/>
  <Override PartName="/word/charts/chart26.xml" ContentType="application/vnd.openxmlformats-officedocument.drawingml.chart+xml"/>
  <Override PartName="/word/charts/chart48.xml" ContentType="application/vnd.openxmlformats-officedocument.drawingml.chart+xml"/>
  <Override PartName="/word/charts/chart27.xml" ContentType="application/vnd.openxmlformats-officedocument.drawingml.chart+xml"/>
  <Override PartName="/word/charts/chart4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header10.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10.xml" ContentType="application/vnd.openxmlformats-officedocument.wordprocessingml.footer+xml"/>
  <Override PartName="/word/footer7.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20.xml" ContentType="application/vnd.openxmlformats-officedocument.wordprocessingml.header+xml"/>
  <Override PartName="/word/header9.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13.xml" ContentType="application/vnd.openxmlformats-officedocument.wordprocessingml.footer+xml"/>
  <Override PartName="/word/footer9.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_rels/document.xml.rels" ContentType="application/vnd.openxmlformats-package.relationships+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ind w:firstLine="4678"/>
        <w:rPr>
          <w:rFonts w:ascii="Times New Roman" w:hAnsi="Times New Roman" w:cs="Times New Roman"/>
        </w:rPr>
      </w:pPr>
      <w:r>
        <w:rPr>
          <w:rFonts w:eastAsia="NSimSun" w:cs="Times New Roman" w:ascii="Times New Roman" w:hAnsi="Times New Roman"/>
          <w:kern w:val="2"/>
          <w:sz w:val="28"/>
          <w:szCs w:val="24"/>
          <w:lang w:eastAsia="zh-CN" w:bidi="hi-IN"/>
        </w:rPr>
        <w:t xml:space="preserve">               </w:t>
      </w:r>
      <w:r>
        <w:rPr>
          <w:rFonts w:eastAsia="NSimSun" w:cs="Times New Roman" w:ascii="Times New Roman" w:hAnsi="Times New Roman"/>
          <w:kern w:val="2"/>
          <w:sz w:val="28"/>
          <w:szCs w:val="24"/>
          <w:lang w:eastAsia="zh-CN" w:bidi="hi-IN"/>
        </w:rPr>
        <w:t>Додаток</w:t>
      </w:r>
    </w:p>
    <w:p>
      <w:pPr>
        <w:pStyle w:val="Normal"/>
        <w:spacing w:lineRule="auto" w:line="240" w:before="0" w:after="0"/>
        <w:ind w:firstLine="4678"/>
        <w:jc w:val="center"/>
        <w:rPr>
          <w:rFonts w:ascii="Times New Roman" w:hAnsi="Times New Roman" w:eastAsia="NSimSun" w:cs="Times New Roman"/>
          <w:kern w:val="2"/>
          <w:sz w:val="28"/>
          <w:szCs w:val="24"/>
          <w:lang w:eastAsia="zh-CN" w:bidi="hi-IN"/>
        </w:rPr>
      </w:pPr>
      <w:r>
        <w:rPr>
          <w:rFonts w:eastAsia="NSimSun" w:cs="Times New Roman" w:ascii="Times New Roman" w:hAnsi="Times New Roman"/>
          <w:kern w:val="2"/>
          <w:sz w:val="28"/>
          <w:szCs w:val="24"/>
          <w:lang w:eastAsia="zh-CN" w:bidi="hi-IN"/>
        </w:rPr>
        <w:t>до рішення міської ради</w:t>
        <w:br/>
        <w:t xml:space="preserve">                                                                             ___________№____________</w:t>
      </w:r>
    </w:p>
    <w:p>
      <w:pPr>
        <w:pStyle w:val="Normal"/>
        <w:spacing w:lineRule="auto" w:line="240" w:before="280" w:after="0"/>
        <w:rPr>
          <w:rFonts w:ascii="Times New Roman" w:hAnsi="Times New Roman" w:eastAsia="Microsoft YaHei" w:cs="Times New Roman"/>
          <w:kern w:val="2"/>
          <w:sz w:val="28"/>
          <w:szCs w:val="28"/>
          <w:lang w:eastAsia="zh-CN" w:bidi="hi-IN"/>
        </w:rPr>
      </w:pPr>
      <w:r>
        <w:rPr>
          <w:rFonts w:eastAsia="Microsoft YaHei" w:cs="Times New Roman" w:ascii="Times New Roman" w:hAnsi="Times New Roman"/>
          <w:kern w:val="2"/>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drawing>
          <wp:anchor behindDoc="0" distT="0" distB="0" distL="114300" distR="114300" simplePos="0" locked="0" layoutInCell="0" allowOverlap="1" relativeHeight="39">
            <wp:simplePos x="0" y="0"/>
            <wp:positionH relativeFrom="column">
              <wp:posOffset>1765300</wp:posOffset>
            </wp:positionH>
            <wp:positionV relativeFrom="paragraph">
              <wp:posOffset>300990</wp:posOffset>
            </wp:positionV>
            <wp:extent cx="2598420" cy="2960370"/>
            <wp:effectExtent l="0" t="0" r="0" b="0"/>
            <wp:wrapSquare wrapText="bothSides"/>
            <wp:docPr id="1" name="Зображення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1" descr="" title=""/>
                    <pic:cNvPicPr>
                      <a:picLocks noChangeAspect="1" noChangeArrowheads="1"/>
                    </pic:cNvPicPr>
                  </pic:nvPicPr>
                  <pic:blipFill>
                    <a:blip r:embed="rId2"/>
                    <a:stretch>
                      <a:fillRect/>
                    </a:stretch>
                  </pic:blipFill>
                  <pic:spPr bwMode="auto">
                    <a:xfrm>
                      <a:off x="0" y="0"/>
                      <a:ext cx="2598420" cy="2960370"/>
                    </a:xfrm>
                    <a:prstGeom prst="rect">
                      <a:avLst/>
                    </a:prstGeom>
                  </pic:spPr>
                </pic:pic>
              </a:graphicData>
            </a:graphic>
          </wp:anchor>
        </w:drawing>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b/>
          <w:bCs/>
          <w:sz w:val="32"/>
          <w:szCs w:val="32"/>
          <w:lang w:eastAsia="zh-CN" w:bidi="hi-IN"/>
        </w:rPr>
      </w:pPr>
      <w:r>
        <w:rPr>
          <w:rFonts w:cs="Times New Roman" w:ascii="Times New Roman" w:hAnsi="Times New Roman"/>
          <w:b/>
          <w:bCs/>
          <w:sz w:val="32"/>
          <w:szCs w:val="32"/>
          <w:lang w:eastAsia="zh-CN" w:bidi="hi-IN"/>
        </w:rPr>
        <w:t xml:space="preserve">Муніципальний енергетичний план </w:t>
        <w:br/>
        <w:t>Луцької міської територіальної громади до 2030 року</w:t>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0"/>
        <w:jc w:val="center"/>
        <w:rPr>
          <w:rFonts w:ascii="Times New Roman" w:hAnsi="Times New Roman" w:cs="Times New Roman"/>
          <w:sz w:val="28"/>
          <w:szCs w:val="28"/>
          <w:lang w:eastAsia="zh-CN" w:bidi="hi-IN"/>
        </w:rPr>
      </w:pPr>
      <w:r>
        <w:rPr>
          <w:rFonts w:cs="Times New Roman" w:ascii="Times New Roman" w:hAnsi="Times New Roman"/>
          <w:sz w:val="28"/>
          <w:szCs w:val="28"/>
          <w:lang w:eastAsia="zh-CN" w:bidi="hi-IN"/>
        </w:rPr>
      </w:r>
    </w:p>
    <w:p>
      <w:pPr>
        <w:pStyle w:val="Normal"/>
        <w:spacing w:lineRule="auto" w:line="240" w:before="280" w:after="280"/>
        <w:jc w:val="center"/>
        <w:rPr>
          <w:shd w:fill="FFFFFF" w:val="clear"/>
        </w:rPr>
      </w:pPr>
      <w:r>
        <w:rPr>
          <w:rFonts w:cs="Times New Roman" w:ascii="Times New Roman" w:hAnsi="Times New Roman"/>
          <w:sz w:val="28"/>
          <w:szCs w:val="28"/>
          <w:shd w:fill="FFFFFF" w:val="clear"/>
          <w:lang w:eastAsia="zh-CN" w:bidi="hi-IN"/>
        </w:rPr>
        <w:t>2025</w:t>
      </w:r>
      <w:r>
        <w:rPr>
          <w:rFonts w:cs="Times New Roman" w:ascii="Times New Roman" w:hAnsi="Times New Roman"/>
          <w:spacing w:val="-1"/>
          <w:sz w:val="28"/>
          <w:szCs w:val="28"/>
          <w:shd w:fill="FFFFFF" w:val="clear"/>
          <w:lang w:eastAsia="zh-CN" w:bidi="hi-IN"/>
        </w:rPr>
        <w:t xml:space="preserve"> </w:t>
      </w:r>
      <w:r>
        <w:rPr>
          <w:rFonts w:cs="Times New Roman" w:ascii="Times New Roman" w:hAnsi="Times New Roman"/>
          <w:sz w:val="28"/>
          <w:szCs w:val="28"/>
          <w:shd w:fill="FFFFFF" w:val="clear"/>
          <w:lang w:eastAsia="zh-CN" w:bidi="hi-IN"/>
        </w:rPr>
        <w:t>рік</w:t>
      </w:r>
    </w:p>
    <w:p>
      <w:pPr>
        <w:pStyle w:val="Normal"/>
        <w:spacing w:lineRule="auto" w:line="240" w:before="0" w:after="0"/>
        <w:rPr>
          <w:rFonts w:ascii="Times New Roman" w:hAnsi="Times New Roman" w:cs="Times New Roman"/>
          <w:sz w:val="28"/>
          <w:szCs w:val="28"/>
          <w:shd w:fill="FFFFFF" w:val="clear"/>
          <w:lang w:eastAsia="zh-CN" w:bidi="hi-IN"/>
        </w:rPr>
      </w:pPr>
      <w:r>
        <w:rPr>
          <w:rFonts w:cs="Times New Roman" w:ascii="Times New Roman" w:hAnsi="Times New Roman"/>
          <w:sz w:val="28"/>
          <w:szCs w:val="28"/>
          <w:shd w:fill="FFFFFF" w:val="clear"/>
          <w:lang w:eastAsia="zh-CN" w:bidi="hi-IN"/>
        </w:rPr>
      </w:r>
    </w:p>
    <w:sdt>
      <w:sdtPr>
        <w:docPartObj>
          <w:docPartGallery w:val="Table of Contents"/>
          <w:docPartUnique w:val="true"/>
        </w:docPartObj>
      </w:sdtPr>
      <w:sdtContent>
        <w:p>
          <w:pPr>
            <w:pStyle w:val="TOCHeading"/>
            <w:jc w:val="center"/>
            <w:rPr>
              <w:color w:val="000000"/>
            </w:rPr>
          </w:pPr>
          <w:r>
            <w:br w:type="page"/>
          </w:r>
          <w:r>
            <w:rPr>
              <w:color w:val="000000"/>
            </w:rPr>
            <w:t>Зміст</w:t>
          </w:r>
        </w:p>
        <w:p>
          <w:pPr>
            <w:pStyle w:val="TOC1"/>
            <w:rPr/>
          </w:pPr>
          <w:r>
            <w:fldChar w:fldCharType="begin"/>
          </w:r>
          <w:r>
            <w:rPr>
              <w:rStyle w:val="Style14"/>
            </w:rPr>
            <w:instrText xml:space="preserve"> TOC \o "1-3" \h</w:instrText>
          </w:r>
          <w:r>
            <w:rPr>
              <w:rStyle w:val="Style14"/>
            </w:rPr>
            <w:fldChar w:fldCharType="separate"/>
          </w:r>
          <w:hyperlink w:anchor="__RefHeading___Toc27530_429042107">
            <w:r>
              <w:rPr>
                <w:rStyle w:val="Style14"/>
              </w:rPr>
              <w:t>Скорочення</w:t>
              <w:tab/>
              <w:t>3</w:t>
            </w:r>
          </w:hyperlink>
        </w:p>
        <w:p>
          <w:pPr>
            <w:pStyle w:val="TOC1"/>
            <w:rPr/>
          </w:pPr>
          <w:hyperlink w:anchor="__RefHeading___Toc27532_429042107">
            <w:r>
              <w:rPr>
                <w:rStyle w:val="Style14"/>
              </w:rPr>
              <w:t>Вступ</w:t>
              <w:tab/>
              <w:t>4</w:t>
            </w:r>
          </w:hyperlink>
        </w:p>
        <w:p>
          <w:pPr>
            <w:pStyle w:val="TOC1"/>
            <w:rPr/>
          </w:pPr>
          <w:hyperlink w:anchor="__RefHeading___Toc158342_271884762">
            <w:r>
              <w:rPr>
                <w:rStyle w:val="Style14"/>
              </w:rPr>
              <w:t>Розділ 1. Резюме муніципального енергетичного плану</w:t>
              <w:tab/>
              <w:t>5</w:t>
            </w:r>
          </w:hyperlink>
        </w:p>
        <w:p>
          <w:pPr>
            <w:pStyle w:val="TOC1"/>
            <w:rPr/>
          </w:pPr>
          <w:hyperlink w:anchor="__RefHeading___Toc57051_1484869573">
            <w:r>
              <w:rPr>
                <w:rStyle w:val="Style14"/>
              </w:rPr>
              <w:t>Розділ 2. Резюме вихідного стану енергетичного розвитку Луцької МТГ</w:t>
              <w:tab/>
              <w:t>9</w:t>
            </w:r>
          </w:hyperlink>
        </w:p>
        <w:p>
          <w:pPr>
            <w:pStyle w:val="TOC1"/>
            <w:rPr/>
          </w:pPr>
          <w:hyperlink w:anchor="__RefHeading___Toc27538_429042107">
            <w:r>
              <w:rPr>
                <w:rStyle w:val="Style14"/>
              </w:rPr>
              <w:t>2.1. Характеристика Луцької МТГ</w:t>
              <w:tab/>
              <w:t>9</w:t>
            </w:r>
          </w:hyperlink>
        </w:p>
        <w:p>
          <w:pPr>
            <w:pStyle w:val="TOC1"/>
            <w:rPr/>
          </w:pPr>
          <w:hyperlink w:anchor="__RefHeading___Toc27540_429042107">
            <w:r>
              <w:rPr>
                <w:rStyle w:val="Style14"/>
              </w:rPr>
              <w:t>2.2. Сектори енергетичного планування</w:t>
              <w:tab/>
              <w:t>9</w:t>
            </w:r>
          </w:hyperlink>
        </w:p>
        <w:p>
          <w:pPr>
            <w:pStyle w:val="TOC1"/>
            <w:rPr/>
          </w:pPr>
          <w:hyperlink w:anchor="__RefHeading___Toc27542_429042107">
            <w:r>
              <w:rPr>
                <w:rStyle w:val="Style14"/>
              </w:rPr>
              <w:t>2.3. Основні характеристики секторів енергетичного планування</w:t>
              <w:tab/>
              <w:t>9</w:t>
            </w:r>
          </w:hyperlink>
        </w:p>
        <w:p>
          <w:pPr>
            <w:pStyle w:val="TOC1"/>
            <w:rPr/>
          </w:pPr>
          <w:hyperlink w:anchor="__RefHeading___Toc27542_429042107_%25D0%">
            <w:r>
              <w:rPr>
                <w:rStyle w:val="Style14"/>
              </w:rPr>
              <w:t>2.4. Стан запровадження енергетичного менеджменту</w:t>
              <w:tab/>
              <w:t>19</w:t>
            </w:r>
          </w:hyperlink>
        </w:p>
        <w:p>
          <w:pPr>
            <w:pStyle w:val="TOC1"/>
            <w:rPr/>
          </w:pPr>
          <w:hyperlink w:anchor="__RefHeading___Toc27546_429042107">
            <w:r>
              <w:rPr>
                <w:rStyle w:val="Style14"/>
              </w:rPr>
              <w:t>2.5. Зведений енергетичний баланс</w:t>
              <w:tab/>
              <w:t>20</w:t>
            </w:r>
          </w:hyperlink>
        </w:p>
        <w:p>
          <w:pPr>
            <w:pStyle w:val="TOC1"/>
            <w:rPr/>
          </w:pPr>
          <w:hyperlink w:anchor="__RefHeading___Toc27548_429042107">
            <w:r>
              <w:rPr>
                <w:rStyle w:val="Style14"/>
              </w:rPr>
              <w:t>2.6. Основні результати бенчмаркінгу енергетичних показників</w:t>
              <w:tab/>
              <w:t>27</w:t>
            </w:r>
          </w:hyperlink>
        </w:p>
        <w:p>
          <w:pPr>
            <w:pStyle w:val="TOC1"/>
            <w:rPr/>
          </w:pPr>
          <w:hyperlink w:anchor="__RefHeading___Toc27550_429042107">
            <w:r>
              <w:rPr>
                <w:rStyle w:val="Style14"/>
              </w:rPr>
              <w:t>2.7. Результати аналізу обмежень для сталого енергетичного розвитку</w:t>
              <w:tab/>
              <w:t>27</w:t>
            </w:r>
          </w:hyperlink>
        </w:p>
        <w:p>
          <w:pPr>
            <w:pStyle w:val="TOC1"/>
            <w:rPr/>
          </w:pPr>
          <w:hyperlink w:anchor="__RefHeading___Toc27552_429042107">
            <w:r>
              <w:rPr>
                <w:rStyle w:val="Style14"/>
              </w:rPr>
              <w:t>2.8. Потенціал використання відновлювальних джерел енергії</w:t>
              <w:tab/>
              <w:t>29</w:t>
            </w:r>
          </w:hyperlink>
        </w:p>
        <w:p>
          <w:pPr>
            <w:pStyle w:val="TOC1"/>
            <w:rPr/>
          </w:pPr>
          <w:hyperlink w:anchor="__RefHeading___Toc27554_429042107">
            <w:r>
              <w:rPr>
                <w:rStyle w:val="Style14"/>
              </w:rPr>
              <w:t>Розділ 3. Цілі сталого енергетичного розвитку Луцької МТГ</w:t>
              <w:tab/>
              <w:t>31</w:t>
            </w:r>
          </w:hyperlink>
        </w:p>
        <w:p>
          <w:pPr>
            <w:pStyle w:val="TOC1"/>
            <w:rPr/>
          </w:pPr>
          <w:hyperlink w:anchor="__RefHeading___Toc27554_429042107_%25D0%">
            <w:r>
              <w:rPr>
                <w:rStyle w:val="Style14"/>
              </w:rPr>
              <w:t>Розділ 4. Проєкти сталого енергетичного розвитку територіальної громади</w:t>
              <w:tab/>
              <w:t>33</w:t>
            </w:r>
          </w:hyperlink>
        </w:p>
        <w:p>
          <w:pPr>
            <w:pStyle w:val="TOC1"/>
            <w:rPr/>
          </w:pPr>
          <w:hyperlink w:anchor="__RefHeading___Toc57053_1484869573_%25D0">
            <w:r>
              <w:rPr>
                <w:rStyle w:val="Style14"/>
              </w:rPr>
              <w:t>Таблиця 4.1. Основні очікувані показники технічних та організаційних муніципальних проєктів Луцької МТГ</w:t>
              <w:tab/>
              <w:t>33</w:t>
            </w:r>
          </w:hyperlink>
        </w:p>
        <w:p>
          <w:pPr>
            <w:pStyle w:val="TOC1"/>
            <w:rPr/>
          </w:pPr>
          <w:hyperlink w:anchor="__RefHeading___Toc27558_429042107">
            <w:r>
              <w:rPr>
                <w:rStyle w:val="Style14"/>
              </w:rPr>
              <w:t>Розділ 5. Організація виконання та фінансування муніципального енергетичного плану</w:t>
              <w:tab/>
              <w:t>41</w:t>
            </w:r>
          </w:hyperlink>
        </w:p>
        <w:p>
          <w:pPr>
            <w:pStyle w:val="TOC1"/>
            <w:rPr/>
          </w:pPr>
          <w:hyperlink w:anchor="__RefHeading___Toc27560_429042107">
            <w:r>
              <w:rPr>
                <w:rStyle w:val="Style14"/>
              </w:rPr>
              <w:t>5.1. Оцінка фінансових потреб на виконання МЕП</w:t>
              <w:tab/>
              <w:t>41</w:t>
            </w:r>
          </w:hyperlink>
        </w:p>
        <w:p>
          <w:pPr>
            <w:pStyle w:val="TOC1"/>
            <w:rPr/>
          </w:pPr>
          <w:hyperlink w:anchor="__RefHeading___Toc27562_429042107">
            <w:r>
              <w:rPr>
                <w:rStyle w:val="Style14"/>
              </w:rPr>
              <w:t>5.2. Потенційні джерела фінансування проєктів МЕП</w:t>
              <w:tab/>
              <w:t>41</w:t>
            </w:r>
          </w:hyperlink>
        </w:p>
        <w:p>
          <w:pPr>
            <w:pStyle w:val="TOC1"/>
            <w:rPr/>
          </w:pPr>
          <w:hyperlink w:anchor="__RefHeading___Toc27564_429042107">
            <w:r>
              <w:rPr>
                <w:rStyle w:val="Style14"/>
              </w:rPr>
              <w:t>5.3. Календарний план реалізації проєктів МЕП</w:t>
              <w:tab/>
              <w:t>44</w:t>
            </w:r>
          </w:hyperlink>
        </w:p>
        <w:p>
          <w:pPr>
            <w:pStyle w:val="TOC1"/>
            <w:rPr/>
          </w:pPr>
          <w:hyperlink w:anchor="__RefHeading___Toc27566_429042107">
            <w:r>
              <w:rPr>
                <w:rStyle w:val="Style14"/>
              </w:rPr>
              <w:t>5.4. Оцінка та мінімізація ризиків</w:t>
              <w:tab/>
              <w:t>46</w:t>
            </w:r>
          </w:hyperlink>
        </w:p>
        <w:p>
          <w:pPr>
            <w:pStyle w:val="TOC1"/>
            <w:rPr/>
          </w:pPr>
          <w:hyperlink w:anchor="__RefHeading___Toc27568_429042107">
            <w:r>
              <w:rPr>
                <w:rStyle w:val="Style14"/>
              </w:rPr>
              <w:t>5.5. Моніторинг виконання МЕП</w:t>
              <w:tab/>
              <w:t>47</w:t>
            </w:r>
          </w:hyperlink>
        </w:p>
        <w:p>
          <w:pPr>
            <w:pStyle w:val="TOC1"/>
            <w:rPr/>
          </w:pPr>
          <w:hyperlink w:anchor="__RefHeading___Toc27570_429042107">
            <w:r>
              <w:rPr>
                <w:rStyle w:val="Style14"/>
              </w:rPr>
              <w:t>Розділ 6. Очікувані результати виконання муніципального енергетичного плану</w:t>
              <w:tab/>
              <w:t>48</w:t>
            </w:r>
          </w:hyperlink>
        </w:p>
        <w:p>
          <w:pPr>
            <w:pStyle w:val="TOC1"/>
            <w:rPr/>
          </w:pPr>
          <w:hyperlink w:anchor="__RefHeading___Toc27572_429042107">
            <w:r>
              <w:rPr>
                <w:rStyle w:val="Style14"/>
              </w:rPr>
              <w:t>Додаток 1. Каталог проєктів сталого енергетичного розвитку Луцької МТГ</w:t>
              <w:tab/>
              <w:t>51</w:t>
            </w:r>
          </w:hyperlink>
        </w:p>
        <w:p>
          <w:pPr>
            <w:pStyle w:val="TOC1"/>
            <w:rPr/>
          </w:pPr>
          <w:hyperlink w:anchor="__RefHeading___Toc27574_429042107">
            <w:r>
              <w:rPr>
                <w:rStyle w:val="Style14"/>
              </w:rPr>
              <w:t>Додаток 2. Вихідний стан енергетичного розвитку Луцької МТГ</w:t>
              <w:tab/>
              <w:t>58</w:t>
            </w:r>
          </w:hyperlink>
        </w:p>
        <w:p>
          <w:pPr>
            <w:pStyle w:val="TOC1"/>
            <w:rPr/>
          </w:pPr>
          <w:hyperlink w:anchor="__RefHeading___Toc27576_429042107_%25D0%">
            <w:r>
              <w:rPr>
                <w:rStyle w:val="Style14"/>
              </w:rPr>
              <w:t>Д2.1. Характеристика Луцької МТГ</w:t>
              <w:tab/>
              <w:t>58</w:t>
            </w:r>
          </w:hyperlink>
        </w:p>
        <w:p>
          <w:pPr>
            <w:pStyle w:val="TOC1"/>
            <w:rPr/>
          </w:pPr>
          <w:hyperlink w:anchor="__RefHeading___Toc27578_429042107">
            <w:r>
              <w:rPr>
                <w:rStyle w:val="Style14"/>
              </w:rPr>
              <w:t>Д2.2. Визначення секторів енергетичного планування</w:t>
              <w:tab/>
              <w:t>62</w:t>
            </w:r>
          </w:hyperlink>
        </w:p>
        <w:p>
          <w:pPr>
            <w:pStyle w:val="TOC1"/>
            <w:rPr/>
          </w:pPr>
          <w:hyperlink w:anchor="__RefHeading___Toc27580_429042107">
            <w:r>
              <w:rPr>
                <w:rStyle w:val="Style14"/>
              </w:rPr>
              <w:t>Д2.3. Основні характеристики секторів енергетичного планування</w:t>
              <w:tab/>
              <w:t>62</w:t>
            </w:r>
          </w:hyperlink>
        </w:p>
        <w:p>
          <w:pPr>
            <w:pStyle w:val="TOC1"/>
            <w:rPr/>
          </w:pPr>
          <w:hyperlink w:anchor="__RefHeading___Toc27584_429042107">
            <w:r>
              <w:rPr>
                <w:rStyle w:val="Style14"/>
              </w:rPr>
              <w:t>Додаток 3. Ключові енергетичні показники для виконання бенчмаркінгу</w:t>
              <w:tab/>
              <w:t>95</w:t>
            </w:r>
          </w:hyperlink>
        </w:p>
        <w:p>
          <w:pPr>
            <w:pStyle w:val="TOC1"/>
            <w:rPr/>
          </w:pPr>
          <w:hyperlink w:anchor="__RefHeading___Toc27586_429042107">
            <w:r>
              <w:rPr>
                <w:rStyle w:val="Style14"/>
              </w:rPr>
              <w:t>Додаток 4. Вихідні дані, що використані у муніципальному енергетичному плані</w:t>
              <w:tab/>
              <w:t>100</w:t>
            </w:r>
          </w:hyperlink>
        </w:p>
        <w:p>
          <w:pPr>
            <w:pStyle w:val="TOC1"/>
            <w:rPr/>
          </w:pPr>
          <w:hyperlink w:anchor="__RefHeading___Toc27588_429042107">
            <w:r>
              <w:rPr>
                <w:rStyle w:val="Style14"/>
              </w:rPr>
              <w:t>Додаток 5. Прогноз зміни цін і тарифів на енергію та комунальні послуги</w:t>
              <w:tab/>
              <w:t>101</w:t>
            </w:r>
          </w:hyperlink>
          <w:r>
            <w:rPr>
              <w:rStyle w:val="Style14"/>
            </w:rPr>
            <w:fldChar w:fldCharType="end"/>
          </w:r>
        </w:p>
      </w:sdtContent>
    </w:sdt>
    <w:p>
      <w:pPr>
        <w:pStyle w:val="Normal"/>
        <w:rPr>
          <w:rFonts w:ascii="Times New Roman" w:hAnsi="Times New Roman"/>
          <w:color w:val="000000"/>
          <w:sz w:val="24"/>
          <w:szCs w:val="24"/>
        </w:rPr>
      </w:pPr>
      <w:r>
        <w:rPr>
          <w:rFonts w:ascii="Times New Roman" w:hAnsi="Times New Roman"/>
          <w:color w:val="000000"/>
          <w:sz w:val="24"/>
          <w:szCs w:val="24"/>
        </w:rPr>
      </w:r>
      <w:r>
        <w:br w:type="page"/>
      </w:r>
    </w:p>
    <w:p>
      <w:pPr>
        <w:pStyle w:val="111"/>
        <w:spacing w:before="0" w:after="0"/>
        <w:jc w:val="center"/>
        <w:rPr/>
      </w:pPr>
      <w:bookmarkStart w:id="0" w:name="__RefHeading___Toc27530_429042107"/>
      <w:bookmarkStart w:id="1" w:name="_Toc188020961"/>
      <w:bookmarkStart w:id="2" w:name="_Toc109399322"/>
      <w:bookmarkEnd w:id="0"/>
      <w:r>
        <w:rPr>
          <w:rFonts w:cs="Times New Roman" w:ascii="Times New Roman" w:hAnsi="Times New Roman"/>
          <w:b/>
          <w:bCs/>
          <w:color w:val="auto"/>
          <w:sz w:val="24"/>
          <w:szCs w:val="24"/>
        </w:rPr>
        <w:t>Скорочення</w:t>
      </w:r>
      <w:bookmarkEnd w:id="1"/>
      <w:bookmarkEnd w:id="2"/>
    </w:p>
    <w:p>
      <w:pPr>
        <w:pStyle w:val="BodyText"/>
        <w:spacing w:before="0" w:after="0"/>
        <w:jc w:val="both"/>
        <w:rPr/>
      </w:pPr>
      <w:r>
        <w:rPr>
          <w:rStyle w:val="Strong"/>
          <w:rFonts w:ascii="Times New Roman" w:hAnsi="Times New Roman"/>
          <w:b w:val="false"/>
          <w:bCs w:val="false"/>
          <w:sz w:val="24"/>
          <w:szCs w:val="24"/>
        </w:rPr>
        <w:t>АГРС</w:t>
      </w:r>
      <w:r>
        <w:rPr>
          <w:rFonts w:ascii="Times New Roman" w:hAnsi="Times New Roman"/>
          <w:sz w:val="24"/>
          <w:szCs w:val="24"/>
        </w:rPr>
        <w:t xml:space="preserve"> – автоматизована газорозподільна станція</w:t>
      </w:r>
    </w:p>
    <w:p>
      <w:pPr>
        <w:pStyle w:val="Normal"/>
        <w:spacing w:before="0" w:after="0"/>
        <w:jc w:val="both"/>
        <w:rPr/>
      </w:pPr>
      <w:r>
        <w:rPr>
          <w:rFonts w:eastAsia="NSimSun" w:cs="Times New Roman" w:ascii="Times New Roman" w:hAnsi="Times New Roman"/>
          <w:color w:val="000000"/>
          <w:kern w:val="2"/>
          <w:sz w:val="24"/>
          <w:szCs w:val="24"/>
          <w:shd w:fill="FFFFFF" w:val="clear"/>
          <w:lang w:eastAsia="zh-CN" w:bidi="hi-IN"/>
        </w:rPr>
        <w:t>АСООП – автоматизовану систему обліку оплати проїзду</w:t>
      </w:r>
    </w:p>
    <w:p>
      <w:pPr>
        <w:pStyle w:val="BodyText"/>
        <w:spacing w:before="0" w:after="0"/>
        <w:jc w:val="both"/>
        <w:rPr/>
      </w:pPr>
      <w:r>
        <w:rPr>
          <w:rStyle w:val="Strong"/>
          <w:rFonts w:ascii="Times New Roman" w:hAnsi="Times New Roman"/>
          <w:b w:val="false"/>
          <w:bCs w:val="false"/>
          <w:sz w:val="24"/>
          <w:szCs w:val="24"/>
        </w:rPr>
        <w:t>ВДЕ</w:t>
      </w:r>
      <w:r>
        <w:rPr>
          <w:rFonts w:ascii="Times New Roman" w:hAnsi="Times New Roman"/>
          <w:sz w:val="24"/>
          <w:szCs w:val="24"/>
        </w:rPr>
        <w:t xml:space="preserve"> – відновлювальні джерела енергії</w:t>
      </w:r>
    </w:p>
    <w:p>
      <w:pPr>
        <w:pStyle w:val="BodyText"/>
        <w:spacing w:before="0" w:after="0"/>
        <w:jc w:val="both"/>
        <w:rPr/>
      </w:pPr>
      <w:r>
        <w:rPr>
          <w:rFonts w:ascii="Times New Roman" w:hAnsi="Times New Roman"/>
          <w:sz w:val="24"/>
          <w:szCs w:val="24"/>
        </w:rPr>
        <w:t xml:space="preserve">ВЕС – вітрові електростанції </w:t>
      </w:r>
    </w:p>
    <w:p>
      <w:pPr>
        <w:pStyle w:val="BodyText"/>
        <w:spacing w:before="0" w:after="0"/>
        <w:jc w:val="both"/>
        <w:rPr/>
      </w:pPr>
      <w:r>
        <w:rPr>
          <w:rStyle w:val="Strong"/>
          <w:rFonts w:ascii="Times New Roman" w:hAnsi="Times New Roman"/>
          <w:b w:val="false"/>
          <w:bCs w:val="false"/>
          <w:sz w:val="24"/>
          <w:szCs w:val="24"/>
        </w:rPr>
        <w:t>ГВП</w:t>
      </w:r>
      <w:r>
        <w:rPr>
          <w:rFonts w:ascii="Times New Roman" w:hAnsi="Times New Roman"/>
          <w:sz w:val="24"/>
          <w:szCs w:val="24"/>
        </w:rPr>
        <w:t xml:space="preserve"> – гаряче водопостачання</w:t>
      </w:r>
    </w:p>
    <w:p>
      <w:pPr>
        <w:pStyle w:val="BodyText"/>
        <w:spacing w:before="0" w:after="0"/>
        <w:jc w:val="both"/>
        <w:rPr/>
      </w:pPr>
      <w:r>
        <w:rPr>
          <w:rStyle w:val="Strong"/>
          <w:rFonts w:ascii="Times New Roman" w:hAnsi="Times New Roman"/>
          <w:b w:val="false"/>
          <w:bCs w:val="false"/>
          <w:sz w:val="24"/>
          <w:szCs w:val="24"/>
        </w:rPr>
        <w:t>ГРП</w:t>
      </w:r>
      <w:r>
        <w:rPr>
          <w:rFonts w:ascii="Times New Roman" w:hAnsi="Times New Roman"/>
          <w:sz w:val="24"/>
          <w:szCs w:val="24"/>
        </w:rPr>
        <w:t xml:space="preserve"> – газорегуляторні пункти</w:t>
      </w:r>
    </w:p>
    <w:p>
      <w:pPr>
        <w:pStyle w:val="BodyText"/>
        <w:spacing w:before="0" w:after="0"/>
        <w:jc w:val="both"/>
        <w:rPr/>
      </w:pPr>
      <w:r>
        <w:rPr>
          <w:rStyle w:val="Strong"/>
          <w:rFonts w:ascii="Times New Roman" w:hAnsi="Times New Roman"/>
          <w:b w:val="false"/>
          <w:bCs w:val="false"/>
          <w:sz w:val="24"/>
          <w:szCs w:val="24"/>
        </w:rPr>
        <w:t>КГУ</w:t>
      </w:r>
      <w:r>
        <w:rPr>
          <w:rFonts w:ascii="Times New Roman" w:hAnsi="Times New Roman"/>
          <w:sz w:val="24"/>
          <w:szCs w:val="24"/>
        </w:rPr>
        <w:t xml:space="preserve"> – когенераційна установка</w:t>
      </w:r>
    </w:p>
    <w:p>
      <w:pPr>
        <w:pStyle w:val="BodyText"/>
        <w:spacing w:before="0" w:after="0"/>
        <w:jc w:val="both"/>
        <w:rPr/>
      </w:pPr>
      <w:r>
        <w:rPr>
          <w:rFonts w:ascii="Times New Roman" w:hAnsi="Times New Roman"/>
          <w:sz w:val="24"/>
          <w:szCs w:val="24"/>
        </w:rPr>
        <w:t>КНС – каналізаційна насосна станція</w:t>
      </w:r>
    </w:p>
    <w:p>
      <w:pPr>
        <w:pStyle w:val="BodyText"/>
        <w:spacing w:before="0" w:after="0"/>
        <w:jc w:val="both"/>
        <w:rPr/>
      </w:pPr>
      <w:r>
        <w:rPr>
          <w:rFonts w:ascii="Times New Roman" w:hAnsi="Times New Roman"/>
          <w:sz w:val="24"/>
          <w:szCs w:val="24"/>
        </w:rPr>
        <w:t>Луцька МТГ – Луцька міська територіальна громада</w:t>
      </w:r>
    </w:p>
    <w:p>
      <w:pPr>
        <w:pStyle w:val="BodyText"/>
        <w:spacing w:before="0" w:after="0"/>
        <w:jc w:val="both"/>
        <w:rPr/>
      </w:pPr>
      <w:r>
        <w:rPr>
          <w:rFonts w:ascii="Times New Roman" w:hAnsi="Times New Roman"/>
          <w:sz w:val="24"/>
          <w:szCs w:val="24"/>
        </w:rPr>
        <w:t>МЕП – муніципальний енергетичний план</w:t>
      </w:r>
    </w:p>
    <w:p>
      <w:pPr>
        <w:pStyle w:val="BodyText"/>
        <w:spacing w:before="0" w:after="0"/>
        <w:jc w:val="both"/>
        <w:rPr/>
      </w:pPr>
      <w:r>
        <w:rPr>
          <w:rStyle w:val="Strong"/>
          <w:rFonts w:ascii="Times New Roman" w:hAnsi="Times New Roman"/>
          <w:b w:val="false"/>
          <w:bCs w:val="false"/>
          <w:sz w:val="24"/>
          <w:szCs w:val="24"/>
        </w:rPr>
        <w:t>ПДСЕР</w:t>
      </w:r>
      <w:r>
        <w:rPr>
          <w:rFonts w:ascii="Times New Roman" w:hAnsi="Times New Roman"/>
          <w:sz w:val="24"/>
          <w:szCs w:val="24"/>
        </w:rPr>
        <w:t xml:space="preserve"> – план дій сталого енергетичного розвитку</w:t>
      </w:r>
    </w:p>
    <w:p>
      <w:pPr>
        <w:pStyle w:val="BodyText"/>
        <w:spacing w:before="0" w:after="0"/>
        <w:jc w:val="both"/>
        <w:rPr/>
      </w:pPr>
      <w:r>
        <w:rPr>
          <w:rStyle w:val="Strong"/>
          <w:rFonts w:ascii="Times New Roman" w:hAnsi="Times New Roman"/>
          <w:b w:val="false"/>
          <w:bCs w:val="false"/>
          <w:sz w:val="24"/>
          <w:szCs w:val="24"/>
        </w:rPr>
        <w:t>ПДСЕРК</w:t>
      </w:r>
      <w:r>
        <w:rPr>
          <w:rFonts w:ascii="Times New Roman" w:hAnsi="Times New Roman"/>
          <w:sz w:val="24"/>
          <w:szCs w:val="24"/>
        </w:rPr>
        <w:t xml:space="preserve"> – план дій сталого енергетичного розвитку та клімату</w:t>
      </w:r>
    </w:p>
    <w:p>
      <w:pPr>
        <w:pStyle w:val="BodyText"/>
        <w:spacing w:before="0" w:after="0"/>
        <w:jc w:val="both"/>
        <w:rPr/>
      </w:pPr>
      <w:r>
        <w:rPr>
          <w:rFonts w:ascii="Times New Roman" w:hAnsi="Times New Roman"/>
          <w:sz w:val="24"/>
          <w:szCs w:val="24"/>
        </w:rPr>
        <w:t xml:space="preserve">ОСББ – об’єднання співвласників багатоквартирного будинку </w:t>
      </w:r>
    </w:p>
    <w:p>
      <w:pPr>
        <w:pStyle w:val="BodyText"/>
        <w:spacing w:before="0" w:after="0"/>
        <w:jc w:val="both"/>
        <w:rPr/>
      </w:pPr>
      <w:r>
        <w:rPr>
          <w:rFonts w:ascii="Times New Roman" w:hAnsi="Times New Roman"/>
          <w:sz w:val="24"/>
          <w:szCs w:val="24"/>
        </w:rPr>
        <w:t>РУ – розподільчі установки</w:t>
      </w:r>
    </w:p>
    <w:p>
      <w:pPr>
        <w:pStyle w:val="BodyText"/>
        <w:spacing w:before="0" w:after="0"/>
        <w:jc w:val="both"/>
        <w:rPr/>
      </w:pPr>
      <w:r>
        <w:rPr>
          <w:rStyle w:val="Strong"/>
          <w:rFonts w:ascii="Times New Roman" w:hAnsi="Times New Roman"/>
          <w:b w:val="false"/>
          <w:bCs w:val="false"/>
          <w:sz w:val="24"/>
          <w:szCs w:val="24"/>
        </w:rPr>
        <w:t>СЕС – сонячні електростанції</w:t>
      </w:r>
    </w:p>
    <w:p>
      <w:pPr>
        <w:pStyle w:val="BodyText"/>
        <w:spacing w:before="0" w:after="0"/>
        <w:jc w:val="both"/>
        <w:rPr/>
      </w:pPr>
      <w:r>
        <w:rPr>
          <w:rStyle w:val="Strong"/>
          <w:rFonts w:ascii="Times New Roman" w:hAnsi="Times New Roman"/>
          <w:b w:val="false"/>
          <w:bCs w:val="false"/>
          <w:sz w:val="24"/>
          <w:szCs w:val="24"/>
        </w:rPr>
        <w:t>СМЯ</w:t>
      </w:r>
      <w:r>
        <w:rPr>
          <w:rFonts w:ascii="Times New Roman" w:hAnsi="Times New Roman"/>
          <w:sz w:val="24"/>
          <w:szCs w:val="24"/>
        </w:rPr>
        <w:t xml:space="preserve"> – стихійне метеорологічне явище</w:t>
      </w:r>
    </w:p>
    <w:p>
      <w:pPr>
        <w:pStyle w:val="BodyText"/>
        <w:spacing w:before="0" w:after="0"/>
        <w:jc w:val="both"/>
        <w:rPr/>
      </w:pPr>
      <w:r>
        <w:rPr>
          <w:rStyle w:val="Strong"/>
          <w:rFonts w:ascii="Times New Roman" w:hAnsi="Times New Roman"/>
          <w:b w:val="false"/>
          <w:bCs w:val="false"/>
          <w:sz w:val="24"/>
          <w:szCs w:val="24"/>
        </w:rPr>
        <w:t>СО</w:t>
      </w:r>
      <w:r>
        <w:rPr>
          <w:rFonts w:ascii="Times New Roman" w:hAnsi="Times New Roman"/>
          <w:sz w:val="24"/>
          <w:szCs w:val="24"/>
        </w:rPr>
        <w:t xml:space="preserve"> – старостинські округи</w:t>
      </w:r>
    </w:p>
    <w:p>
      <w:pPr>
        <w:pStyle w:val="BodyText"/>
        <w:spacing w:before="0" w:after="0"/>
        <w:jc w:val="both"/>
        <w:rPr/>
      </w:pPr>
      <w:r>
        <w:rPr>
          <w:rStyle w:val="Strong"/>
          <w:rFonts w:ascii="Times New Roman" w:hAnsi="Times New Roman"/>
          <w:b w:val="false"/>
          <w:bCs w:val="false"/>
          <w:sz w:val="24"/>
          <w:szCs w:val="24"/>
        </w:rPr>
        <w:t>СПД</w:t>
      </w:r>
      <w:r>
        <w:rPr>
          <w:rFonts w:ascii="Times New Roman" w:hAnsi="Times New Roman"/>
          <w:sz w:val="24"/>
          <w:szCs w:val="24"/>
        </w:rPr>
        <w:t xml:space="preserve"> – суб’єкти підприємницької діяльності</w:t>
      </w:r>
    </w:p>
    <w:p>
      <w:pPr>
        <w:pStyle w:val="BodyText"/>
        <w:spacing w:before="0" w:after="0"/>
        <w:jc w:val="both"/>
        <w:rPr/>
      </w:pPr>
      <w:r>
        <w:rPr>
          <w:rStyle w:val="Strong"/>
          <w:rFonts w:ascii="Times New Roman" w:hAnsi="Times New Roman"/>
          <w:b w:val="false"/>
          <w:bCs w:val="false"/>
          <w:sz w:val="24"/>
          <w:szCs w:val="24"/>
        </w:rPr>
        <w:t>СТВ</w:t>
      </w:r>
      <w:r>
        <w:rPr>
          <w:rFonts w:ascii="Times New Roman" w:hAnsi="Times New Roman"/>
          <w:sz w:val="24"/>
          <w:szCs w:val="24"/>
        </w:rPr>
        <w:t xml:space="preserve"> – система торгівлі викидами</w:t>
      </w:r>
    </w:p>
    <w:p>
      <w:pPr>
        <w:pStyle w:val="BodyText"/>
        <w:spacing w:before="0" w:after="0"/>
        <w:jc w:val="both"/>
        <w:rPr/>
      </w:pPr>
      <w:r>
        <w:rPr>
          <w:rFonts w:ascii="Times New Roman" w:hAnsi="Times New Roman"/>
          <w:sz w:val="24"/>
          <w:szCs w:val="24"/>
        </w:rPr>
        <w:t>ТГ – територіальна громада</w:t>
      </w:r>
    </w:p>
    <w:p>
      <w:pPr>
        <w:pStyle w:val="BodyText"/>
        <w:spacing w:before="0" w:after="0"/>
        <w:jc w:val="both"/>
        <w:rPr/>
      </w:pPr>
      <w:r>
        <w:rPr>
          <w:rStyle w:val="Strong"/>
          <w:rFonts w:ascii="Times New Roman" w:hAnsi="Times New Roman"/>
          <w:b w:val="false"/>
          <w:bCs w:val="false"/>
          <w:sz w:val="24"/>
          <w:szCs w:val="24"/>
        </w:rPr>
        <w:t>ТПВ</w:t>
      </w:r>
      <w:r>
        <w:rPr>
          <w:rFonts w:ascii="Times New Roman" w:hAnsi="Times New Roman"/>
          <w:sz w:val="24"/>
          <w:szCs w:val="24"/>
        </w:rPr>
        <w:t xml:space="preserve"> – тверді побутові відходи</w:t>
      </w:r>
    </w:p>
    <w:p>
      <w:pPr>
        <w:pStyle w:val="BodyText"/>
        <w:spacing w:before="0" w:after="0"/>
        <w:jc w:val="both"/>
        <w:rPr/>
      </w:pPr>
      <w:r>
        <w:rPr>
          <w:rStyle w:val="Strong"/>
          <w:rFonts w:ascii="Times New Roman" w:hAnsi="Times New Roman"/>
          <w:b w:val="false"/>
          <w:bCs w:val="false"/>
          <w:sz w:val="24"/>
          <w:szCs w:val="24"/>
        </w:rPr>
        <w:t>ФОП</w:t>
      </w:r>
      <w:r>
        <w:rPr>
          <w:rFonts w:ascii="Times New Roman" w:hAnsi="Times New Roman"/>
          <w:sz w:val="24"/>
          <w:szCs w:val="24"/>
        </w:rPr>
        <w:t xml:space="preserve"> – фізичні особи-підприємці</w:t>
      </w:r>
    </w:p>
    <w:p>
      <w:pPr>
        <w:pStyle w:val="BodyText"/>
        <w:spacing w:before="0" w:after="0"/>
        <w:jc w:val="both"/>
        <w:rPr/>
      </w:pPr>
      <w:r>
        <w:rPr>
          <w:rFonts w:ascii="Times New Roman" w:hAnsi="Times New Roman"/>
          <w:sz w:val="24"/>
          <w:szCs w:val="24"/>
        </w:rPr>
        <w:t>ХВП – холодне водопостачання</w:t>
      </w:r>
    </w:p>
    <w:p>
      <w:pPr>
        <w:pStyle w:val="BodyText"/>
        <w:spacing w:before="0" w:after="0"/>
        <w:jc w:val="both"/>
        <w:rPr/>
      </w:pPr>
      <w:r>
        <w:rPr>
          <w:rStyle w:val="Strong"/>
          <w:rFonts w:ascii="Times New Roman" w:hAnsi="Times New Roman"/>
          <w:b w:val="false"/>
          <w:bCs w:val="false"/>
          <w:sz w:val="24"/>
          <w:szCs w:val="24"/>
        </w:rPr>
        <w:t>ЦТП</w:t>
      </w:r>
      <w:r>
        <w:rPr>
          <w:rFonts w:ascii="Times New Roman" w:hAnsi="Times New Roman"/>
          <w:sz w:val="24"/>
          <w:szCs w:val="24"/>
        </w:rPr>
        <w:t xml:space="preserve"> – центральний тепловий пункт</w:t>
      </w:r>
    </w:p>
    <w:p>
      <w:pPr>
        <w:pStyle w:val="BodyText"/>
        <w:spacing w:before="0" w:after="0"/>
        <w:jc w:val="both"/>
        <w:rPr/>
      </w:pPr>
      <w:r>
        <w:rPr>
          <w:rStyle w:val="Strong"/>
          <w:rFonts w:ascii="Times New Roman" w:hAnsi="Times New Roman"/>
          <w:b w:val="false"/>
          <w:bCs w:val="false"/>
          <w:sz w:val="24"/>
          <w:szCs w:val="24"/>
        </w:rPr>
        <w:t>ІТП</w:t>
      </w:r>
      <w:r>
        <w:rPr>
          <w:rFonts w:ascii="Times New Roman" w:hAnsi="Times New Roman"/>
          <w:sz w:val="24"/>
          <w:szCs w:val="24"/>
        </w:rPr>
        <w:t xml:space="preserve"> – індивідуальний тепловий пункт</w:t>
      </w:r>
    </w:p>
    <w:p>
      <w:pPr>
        <w:pStyle w:val="BodyText"/>
        <w:spacing w:before="0" w:after="0"/>
        <w:jc w:val="both"/>
        <w:rPr/>
      </w:pPr>
      <w:r>
        <w:rPr>
          <w:rStyle w:val="Strong"/>
          <w:rFonts w:ascii="Times New Roman" w:hAnsi="Times New Roman"/>
          <w:b w:val="false"/>
          <w:bCs w:val="false"/>
          <w:sz w:val="24"/>
          <w:szCs w:val="24"/>
        </w:rPr>
        <w:t>ШРП</w:t>
      </w:r>
      <w:r>
        <w:rPr>
          <w:rFonts w:ascii="Times New Roman" w:hAnsi="Times New Roman"/>
          <w:sz w:val="24"/>
          <w:szCs w:val="24"/>
        </w:rPr>
        <w:t xml:space="preserve"> – шафовий регуляторний пункт</w:t>
      </w:r>
    </w:p>
    <w:p>
      <w:pPr>
        <w:pStyle w:val="BodyText"/>
        <w:spacing w:before="0" w:after="0"/>
        <w:jc w:val="both"/>
        <w:rPr/>
      </w:pPr>
      <w:r>
        <w:rPr>
          <w:rStyle w:val="Strong"/>
          <w:rFonts w:cs="Times New Roman" w:ascii="Times New Roman" w:hAnsi="Times New Roman"/>
          <w:b w:val="false"/>
          <w:bCs w:val="false"/>
          <w:sz w:val="24"/>
          <w:szCs w:val="24"/>
        </w:rPr>
        <w:t>ЮО</w:t>
      </w:r>
      <w:r>
        <w:rPr>
          <w:rFonts w:cs="Times New Roman" w:ascii="Times New Roman" w:hAnsi="Times New Roman"/>
          <w:sz w:val="24"/>
          <w:szCs w:val="24"/>
        </w:rPr>
        <w:t xml:space="preserve"> – юридичні особи</w:t>
      </w:r>
    </w:p>
    <w:p>
      <w:pPr>
        <w:pStyle w:val="BodyText"/>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p>
    <w:p>
      <w:pPr>
        <w:pStyle w:val="BodyText"/>
        <w:spacing w:before="0" w:after="0"/>
        <w:jc w:val="both"/>
        <w:rPr>
          <w:rFonts w:ascii="Times New Roman" w:hAnsi="Times New Roman" w:cs="Times New Roman"/>
          <w:b/>
          <w:bCs/>
          <w:sz w:val="28"/>
          <w:szCs w:val="28"/>
        </w:rPr>
      </w:pPr>
      <w:r>
        <w:rPr>
          <w:rFonts w:cs="Times New Roman" w:ascii="Times New Roman" w:hAnsi="Times New Roman"/>
          <w:b/>
          <w:bCs/>
          <w:sz w:val="28"/>
          <w:szCs w:val="28"/>
        </w:rPr>
      </w:r>
      <w:r>
        <w:br w:type="page"/>
      </w:r>
    </w:p>
    <w:p>
      <w:pPr>
        <w:pStyle w:val="111"/>
        <w:spacing w:before="0" w:after="0"/>
        <w:jc w:val="center"/>
        <w:rPr/>
      </w:pPr>
      <w:bookmarkStart w:id="3" w:name="__RefHeading___Toc27532_429042107"/>
      <w:bookmarkStart w:id="4" w:name="_Toc188020962"/>
      <w:bookmarkEnd w:id="3"/>
      <w:r>
        <w:rPr>
          <w:rFonts w:cs="Times New Roman" w:ascii="Times New Roman" w:hAnsi="Times New Roman"/>
          <w:b/>
          <w:bCs/>
          <w:color w:val="auto"/>
          <w:sz w:val="24"/>
          <w:szCs w:val="24"/>
        </w:rPr>
        <w:t>Вступ</w:t>
      </w:r>
      <w:bookmarkEnd w:id="4"/>
    </w:p>
    <w:p>
      <w:pPr>
        <w:pStyle w:val="BodyText"/>
        <w:spacing w:before="0" w:after="0"/>
        <w:ind w:firstLine="567"/>
        <w:jc w:val="both"/>
        <w:rPr/>
      </w:pPr>
      <w:r>
        <w:rPr>
          <w:rFonts w:ascii="Times New Roman" w:hAnsi="Times New Roman"/>
          <w:color w:val="000000"/>
          <w:sz w:val="24"/>
          <w:szCs w:val="24"/>
          <w:shd w:fill="FFFFFF" w:val="clear"/>
        </w:rPr>
        <w:t>Законом України «Про енергетичну ефективність» від 21.10.2021 № 1818-IX передбачено, що:</w:t>
      </w:r>
    </w:p>
    <w:p>
      <w:pPr>
        <w:pStyle w:val="BodyText"/>
        <w:spacing w:before="0" w:after="0"/>
        <w:ind w:firstLine="567"/>
        <w:jc w:val="both"/>
        <w:rPr/>
      </w:pPr>
      <w:r>
        <w:rPr>
          <w:rFonts w:ascii="Times New Roman" w:hAnsi="Times New Roman"/>
          <w:color w:val="000000"/>
          <w:sz w:val="24"/>
          <w:szCs w:val="24"/>
          <w:shd w:fill="FFFFFF" w:val="clear"/>
        </w:rPr>
        <w:t xml:space="preserve">органи місцевого самоврядування відповідно до їх повноважень протягом чотирьох років з дня набрання чинності цим Законом розробляють та затверджують місцеві енергетичні плани та середньострокові цільові програми з їх виконання; </w:t>
      </w:r>
    </w:p>
    <w:p>
      <w:pPr>
        <w:pStyle w:val="BodyText"/>
        <w:spacing w:before="0" w:after="0"/>
        <w:ind w:firstLine="567"/>
        <w:jc w:val="both"/>
        <w:rPr/>
      </w:pPr>
      <w:r>
        <w:rPr>
          <w:rFonts w:ascii="Times New Roman" w:hAnsi="Times New Roman"/>
          <w:color w:val="000000"/>
          <w:sz w:val="24"/>
          <w:szCs w:val="24"/>
          <w:shd w:fill="FFFFFF" w:val="clear"/>
        </w:rPr>
        <w:t>обов’язковою умовою отримання державної підтримки (допомоги) на впровадження енергоефективних заходів органами місцевого самоврядування є наявність рішення про затвердження місцевого енергетичного плану.</w:t>
      </w:r>
    </w:p>
    <w:p>
      <w:pPr>
        <w:pStyle w:val="BodyText"/>
        <w:spacing w:before="0" w:after="0"/>
        <w:ind w:firstLine="567"/>
        <w:jc w:val="both"/>
        <w:rPr/>
      </w:pPr>
      <w:r>
        <w:rPr>
          <w:rFonts w:ascii="Times New Roman" w:hAnsi="Times New Roman"/>
          <w:color w:val="000000"/>
          <w:sz w:val="24"/>
          <w:szCs w:val="24"/>
          <w:shd w:fill="FFFFFF" w:val="clear"/>
        </w:rPr>
        <w:t xml:space="preserve">Муніципальний енергетичний план (МЕП) – вид місцевого енергетичного плану, що спрямований на сталий енергетичний розвиток території територіальної громади, охоплює об’єкти (системи), які розташовані на території територіальної громади, та затверджується відповідною міською радою. </w:t>
      </w:r>
    </w:p>
    <w:p>
      <w:pPr>
        <w:pStyle w:val="BodyText"/>
        <w:spacing w:before="0" w:after="0"/>
        <w:ind w:firstLine="567"/>
        <w:jc w:val="both"/>
        <w:rPr/>
      </w:pPr>
      <w:r>
        <w:rPr>
          <w:rFonts w:ascii="Times New Roman" w:hAnsi="Times New Roman"/>
          <w:sz w:val="24"/>
          <w:szCs w:val="24"/>
        </w:rPr>
        <w:t>Метою місцевих енергетичних планів є:</w:t>
      </w:r>
    </w:p>
    <w:p>
      <w:pPr>
        <w:pStyle w:val="BodyText"/>
        <w:spacing w:before="0" w:after="0"/>
        <w:ind w:firstLine="567"/>
        <w:jc w:val="both"/>
        <w:rPr/>
      </w:pPr>
      <w:bookmarkStart w:id="5" w:name="n25"/>
      <w:bookmarkEnd w:id="5"/>
      <w:r>
        <w:rPr>
          <w:rFonts w:ascii="Times New Roman" w:hAnsi="Times New Roman"/>
          <w:sz w:val="24"/>
          <w:szCs w:val="24"/>
        </w:rPr>
        <w:t>сприяння досягненню національних цілей з енергоефективності, розвитку відновлюваних джерел енергії, використання скидної теплової енергії, застосування високоефективної когенерації та інших цілей, які пов’язані з використанням енергії та визначені законодавством;</w:t>
      </w:r>
    </w:p>
    <w:p>
      <w:pPr>
        <w:pStyle w:val="BodyText"/>
        <w:spacing w:before="0" w:after="0"/>
        <w:ind w:firstLine="567"/>
        <w:jc w:val="both"/>
        <w:rPr/>
      </w:pPr>
      <w:bookmarkStart w:id="6" w:name="n26"/>
      <w:bookmarkEnd w:id="6"/>
      <w:r>
        <w:rPr>
          <w:rFonts w:ascii="Times New Roman" w:hAnsi="Times New Roman"/>
          <w:sz w:val="24"/>
          <w:szCs w:val="24"/>
        </w:rPr>
        <w:t>забезпечення раціонального використання бюджетних коштів на придбання енергії та комунальних послуг;</w:t>
      </w:r>
    </w:p>
    <w:p>
      <w:pPr>
        <w:pStyle w:val="BodyText"/>
        <w:spacing w:before="0" w:after="0"/>
        <w:ind w:firstLine="567"/>
        <w:jc w:val="both"/>
        <w:rPr/>
      </w:pPr>
      <w:bookmarkStart w:id="7" w:name="n27"/>
      <w:bookmarkEnd w:id="7"/>
      <w:r>
        <w:rPr>
          <w:rFonts w:ascii="Times New Roman" w:hAnsi="Times New Roman"/>
          <w:sz w:val="24"/>
          <w:szCs w:val="24"/>
        </w:rPr>
        <w:t>визначення пріоритетних секторів енергетичного планування для залучення інвестицій і раціонального використання бюджетного фінансування для енергетичної модернізації об’єктів та інфраструктури території територіальних громад і регіонів;</w:t>
      </w:r>
    </w:p>
    <w:p>
      <w:pPr>
        <w:pStyle w:val="BodyText"/>
        <w:spacing w:before="0" w:after="0"/>
        <w:ind w:firstLine="567"/>
        <w:jc w:val="both"/>
        <w:rPr/>
      </w:pPr>
      <w:bookmarkStart w:id="8" w:name="n28"/>
      <w:bookmarkEnd w:id="8"/>
      <w:r>
        <w:rPr>
          <w:rFonts w:ascii="Times New Roman" w:hAnsi="Times New Roman"/>
          <w:sz w:val="24"/>
          <w:szCs w:val="24"/>
        </w:rPr>
        <w:t>покращення якості надання комунальних послуг, формування енергоефективної поведінки населення;</w:t>
      </w:r>
    </w:p>
    <w:p>
      <w:pPr>
        <w:pStyle w:val="BodyText"/>
        <w:spacing w:before="0" w:after="0"/>
        <w:ind w:firstLine="567"/>
        <w:jc w:val="both"/>
        <w:rPr/>
      </w:pPr>
      <w:bookmarkStart w:id="9" w:name="n29"/>
      <w:bookmarkEnd w:id="9"/>
      <w:r>
        <w:rPr>
          <w:rFonts w:ascii="Times New Roman" w:hAnsi="Times New Roman"/>
          <w:sz w:val="24"/>
          <w:szCs w:val="24"/>
        </w:rPr>
        <w:t>скорочення викидів парникових газів та забезпечення декарбонізації споживання енергії на територіях територіальних громад та регіонах до 2050 року з урахуванням принципу «Енергоефективність насамперед».</w:t>
      </w:r>
    </w:p>
    <w:p>
      <w:pPr>
        <w:pStyle w:val="BodyText"/>
        <w:spacing w:before="0" w:after="0"/>
        <w:ind w:firstLine="567"/>
        <w:jc w:val="both"/>
        <w:rPr/>
      </w:pPr>
      <w:r>
        <w:rPr>
          <w:rFonts w:ascii="Times New Roman" w:hAnsi="Times New Roman"/>
          <w:color w:val="000000"/>
          <w:sz w:val="24"/>
          <w:szCs w:val="24"/>
          <w:shd w:fill="FFFFFF" w:val="clear"/>
        </w:rPr>
        <w:t>Розроблення муніципального енергетичного плану проводилося з урахуванням:</w:t>
      </w:r>
    </w:p>
    <w:p>
      <w:pPr>
        <w:pStyle w:val="BodyText"/>
        <w:spacing w:before="0" w:after="0"/>
        <w:ind w:firstLine="567"/>
        <w:jc w:val="both"/>
        <w:rPr/>
      </w:pPr>
      <w:bookmarkStart w:id="10" w:name="n59_копія_1"/>
      <w:bookmarkEnd w:id="10"/>
      <w:r>
        <w:rPr>
          <w:rFonts w:ascii="Times New Roman" w:hAnsi="Times New Roman"/>
          <w:color w:val="000000"/>
          <w:sz w:val="24"/>
          <w:szCs w:val="24"/>
          <w:shd w:fill="FFFFFF" w:val="clear"/>
        </w:rPr>
        <w:t>Енергетичної стратегії України на період до 2050 року;</w:t>
      </w:r>
    </w:p>
    <w:p>
      <w:pPr>
        <w:pStyle w:val="BodyText"/>
        <w:spacing w:before="0" w:after="0"/>
        <w:ind w:firstLine="567"/>
        <w:jc w:val="both"/>
        <w:rPr/>
      </w:pPr>
      <w:hyperlink r:id="rId3" w:anchor="n11" w:tgtFrame="_blank">
        <w:bookmarkStart w:id="11" w:name="n60_копія_1"/>
        <w:bookmarkEnd w:id="11"/>
        <w:r>
          <w:rPr>
            <w:rStyle w:val="Hyperlink"/>
            <w:rFonts w:ascii="Times New Roman" w:hAnsi="Times New Roman"/>
            <w:color w:val="000000"/>
            <w:sz w:val="24"/>
            <w:szCs w:val="24"/>
            <w:u w:val="none"/>
            <w:shd w:fill="FFFFFF" w:val="clear"/>
          </w:rPr>
          <w:t>Концепції реалізації державної політики у сфері забезпечення енергетичної ефективності будівель у частині збільшення кількості будівель з близьким до нульового рівнем споживання енергії</w:t>
        </w:r>
      </w:hyperlink>
      <w:r>
        <w:rPr>
          <w:rFonts w:ascii="Times New Roman" w:hAnsi="Times New Roman"/>
          <w:color w:val="000000"/>
          <w:sz w:val="24"/>
          <w:szCs w:val="24"/>
          <w:shd w:fill="FFFFFF" w:val="clear"/>
        </w:rPr>
        <w:t>;</w:t>
      </w:r>
    </w:p>
    <w:p>
      <w:pPr>
        <w:pStyle w:val="BodyText"/>
        <w:spacing w:before="0" w:after="0"/>
        <w:ind w:firstLine="567"/>
        <w:jc w:val="both"/>
        <w:rPr/>
      </w:pPr>
      <w:hyperlink r:id="rId4" w:anchor="n8" w:tgtFrame="_blank">
        <w:bookmarkStart w:id="12" w:name="n61_копія_1"/>
        <w:bookmarkEnd w:id="12"/>
        <w:r>
          <w:rPr>
            <w:rStyle w:val="Hyperlink"/>
            <w:rFonts w:ascii="Times New Roman" w:hAnsi="Times New Roman"/>
            <w:color w:val="000000"/>
            <w:sz w:val="24"/>
            <w:szCs w:val="24"/>
            <w:u w:val="none"/>
            <w:shd w:fill="FFFFFF" w:val="clear"/>
          </w:rPr>
          <w:t>Концепції реалізації державної політики у сфері теплопостачання</w:t>
        </w:r>
      </w:hyperlink>
      <w:r>
        <w:rPr>
          <w:rFonts w:ascii="Times New Roman" w:hAnsi="Times New Roman"/>
          <w:color w:val="000000"/>
          <w:sz w:val="24"/>
          <w:szCs w:val="24"/>
          <w:shd w:fill="FFFFFF" w:val="clear"/>
        </w:rPr>
        <w:t>;</w:t>
      </w:r>
    </w:p>
    <w:p>
      <w:pPr>
        <w:pStyle w:val="BodyText"/>
        <w:spacing w:before="0" w:after="0"/>
        <w:ind w:firstLine="567"/>
        <w:jc w:val="both"/>
        <w:rPr/>
      </w:pPr>
      <w:hyperlink r:id="rId5" w:anchor="n15" w:tgtFrame="_blank">
        <w:bookmarkStart w:id="13" w:name="n62_копія_1"/>
        <w:bookmarkEnd w:id="13"/>
        <w:r>
          <w:rPr>
            <w:rStyle w:val="Hyperlink"/>
            <w:rFonts w:ascii="Times New Roman" w:hAnsi="Times New Roman"/>
            <w:color w:val="000000"/>
            <w:sz w:val="24"/>
            <w:szCs w:val="24"/>
            <w:u w:val="none"/>
            <w:shd w:fill="FFFFFF" w:val="clear"/>
          </w:rPr>
          <w:t>Національного плану дій з енергоефективності на період до 2030 року</w:t>
        </w:r>
      </w:hyperlink>
      <w:r>
        <w:rPr>
          <w:rFonts w:ascii="Times New Roman" w:hAnsi="Times New Roman"/>
          <w:color w:val="000000"/>
          <w:sz w:val="24"/>
          <w:szCs w:val="24"/>
          <w:shd w:fill="FFFFFF" w:val="clear"/>
        </w:rPr>
        <w:t>;</w:t>
      </w:r>
    </w:p>
    <w:p>
      <w:pPr>
        <w:pStyle w:val="BodyText"/>
        <w:spacing w:before="0" w:after="0"/>
        <w:ind w:firstLine="567"/>
        <w:jc w:val="both"/>
        <w:rPr/>
      </w:pPr>
      <w:hyperlink r:id="rId6" w:anchor="n13" w:tgtFrame="_blank">
        <w:bookmarkStart w:id="14" w:name="n63_копія_1"/>
        <w:bookmarkEnd w:id="14"/>
        <w:r>
          <w:rPr>
            <w:rStyle w:val="Hyperlink"/>
            <w:rFonts w:ascii="Times New Roman" w:hAnsi="Times New Roman"/>
            <w:color w:val="000000"/>
            <w:sz w:val="24"/>
            <w:szCs w:val="24"/>
            <w:u w:val="none"/>
            <w:shd w:fill="FFFFFF" w:val="clear"/>
          </w:rPr>
          <w:t>Національної транспортної стратегії України на період до 2030 року</w:t>
        </w:r>
      </w:hyperlink>
      <w:r>
        <w:rPr>
          <w:rFonts w:ascii="Times New Roman" w:hAnsi="Times New Roman"/>
          <w:color w:val="000000"/>
          <w:sz w:val="24"/>
          <w:szCs w:val="24"/>
          <w:shd w:fill="FFFFFF" w:val="clear"/>
        </w:rPr>
        <w:t>;</w:t>
      </w:r>
    </w:p>
    <w:p>
      <w:pPr>
        <w:pStyle w:val="BodyText"/>
        <w:spacing w:before="0" w:after="0"/>
        <w:ind w:firstLine="567"/>
        <w:jc w:val="both"/>
        <w:rPr/>
      </w:pPr>
      <w:bookmarkStart w:id="15" w:name="n64_копія_1"/>
      <w:bookmarkEnd w:id="15"/>
      <w:r>
        <w:rPr>
          <w:rFonts w:ascii="Times New Roman" w:hAnsi="Times New Roman"/>
          <w:color w:val="000000"/>
          <w:sz w:val="24"/>
          <w:szCs w:val="24"/>
          <w:shd w:fill="FFFFFF" w:val="clear"/>
        </w:rPr>
        <w:t>Оновленого національно визначеного внеску України до Паризької Угоди;</w:t>
      </w:r>
    </w:p>
    <w:p>
      <w:pPr>
        <w:pStyle w:val="BodyText"/>
        <w:spacing w:before="0" w:after="0"/>
        <w:ind w:firstLine="567"/>
        <w:jc w:val="both"/>
        <w:rPr/>
      </w:pPr>
      <w:bookmarkStart w:id="16" w:name="n65_копія_1"/>
      <w:bookmarkEnd w:id="16"/>
      <w:r>
        <w:rPr>
          <w:rFonts w:ascii="Times New Roman" w:hAnsi="Times New Roman"/>
          <w:color w:val="000000"/>
          <w:sz w:val="24"/>
          <w:szCs w:val="24"/>
          <w:shd w:fill="FFFFFF" w:val="clear"/>
        </w:rPr>
        <w:t>Цілей сталого розвитку України на період до 2030 року;</w:t>
      </w:r>
    </w:p>
    <w:p>
      <w:pPr>
        <w:pStyle w:val="BodyText"/>
        <w:spacing w:before="0" w:after="0"/>
        <w:ind w:firstLine="567"/>
        <w:jc w:val="both"/>
        <w:rPr/>
      </w:pPr>
      <w:bookmarkStart w:id="17" w:name="n66_копія_1"/>
      <w:bookmarkEnd w:id="17"/>
      <w:r>
        <w:rPr>
          <w:rFonts w:ascii="Times New Roman" w:hAnsi="Times New Roman"/>
          <w:color w:val="000000"/>
          <w:sz w:val="24"/>
          <w:szCs w:val="24"/>
          <w:shd w:fill="FFFFFF" w:val="clear"/>
        </w:rPr>
        <w:t>інших програмних документів, схвалених (затверджених) Кабінетом Міністрів України, у сферах забезпечення енергетичної ефективності, енергетики (у тому числі відновлюваної енергетики), економіки, сталого розвитку;</w:t>
      </w:r>
    </w:p>
    <w:p>
      <w:pPr>
        <w:pStyle w:val="BodyText"/>
        <w:spacing w:before="0" w:after="0"/>
        <w:ind w:firstLine="567"/>
        <w:jc w:val="both"/>
        <w:rPr/>
      </w:pPr>
      <w:r>
        <w:rPr>
          <w:rFonts w:ascii="Times New Roman" w:hAnsi="Times New Roman"/>
          <w:color w:val="000000"/>
          <w:sz w:val="24"/>
          <w:szCs w:val="24"/>
          <w:shd w:fill="FFFFFF" w:val="clear"/>
        </w:rPr>
        <w:t>Стратегії розвитку Волинської області на період до 2027 року та Стратегії розвитку Луцької міської територіальної громади до 2030 року, містобудівної документації;</w:t>
      </w:r>
    </w:p>
    <w:p>
      <w:pPr>
        <w:pStyle w:val="Normal"/>
        <w:spacing w:before="0" w:after="0"/>
        <w:ind w:firstLine="567"/>
        <w:jc w:val="both"/>
        <w:rPr/>
      </w:pPr>
      <w:r>
        <w:rPr>
          <w:rFonts w:ascii="Times New Roman" w:hAnsi="Times New Roman"/>
          <w:color w:val="000000"/>
          <w:sz w:val="24"/>
          <w:szCs w:val="24"/>
          <w:shd w:fill="FFFFFF" w:val="clear"/>
          <w:lang w:eastAsia="uk-UA"/>
        </w:rPr>
        <w:t>Плану дій сталого енергетичного розвитку та клімату Луцької міської територіальної громади до 2050 року.</w:t>
      </w:r>
    </w:p>
    <w:p>
      <w:pPr>
        <w:pStyle w:val="Normal"/>
        <w:spacing w:before="0" w:after="0"/>
        <w:ind w:firstLine="567"/>
        <w:jc w:val="both"/>
        <w:rPr>
          <w:color w:val="000000"/>
          <w:shd w:fill="FFFFFF" w:val="clear"/>
        </w:rPr>
      </w:pPr>
      <w:r>
        <w:rPr>
          <w:color w:val="000000"/>
          <w:shd w:fill="FFFFFF" w:val="clear"/>
        </w:rPr>
      </w:r>
    </w:p>
    <w:p>
      <w:pPr>
        <w:pStyle w:val="111"/>
        <w:numPr>
          <w:ilvl w:val="0"/>
          <w:numId w:val="0"/>
        </w:numPr>
        <w:ind w:hanging="0" w:start="720"/>
        <w:rPr>
          <w:rFonts w:ascii="Times New Roman" w:hAnsi="Times New Roman"/>
          <w:b/>
          <w:bCs/>
          <w:color w:val="000000"/>
          <w:sz w:val="24"/>
          <w:szCs w:val="24"/>
        </w:rPr>
      </w:pPr>
      <w:bookmarkStart w:id="18" w:name="__RefHeading___Toc158342_271884762"/>
      <w:bookmarkStart w:id="19" w:name="_Toc188020963"/>
      <w:bookmarkStart w:id="20" w:name="n399"/>
      <w:bookmarkStart w:id="21" w:name="n407"/>
      <w:bookmarkEnd w:id="18"/>
      <w:bookmarkEnd w:id="20"/>
      <w:bookmarkEnd w:id="21"/>
      <w:r>
        <w:rPr>
          <w:rFonts w:ascii="Times New Roman" w:hAnsi="Times New Roman"/>
          <w:b/>
          <w:bCs/>
          <w:color w:val="000000"/>
          <w:sz w:val="24"/>
          <w:szCs w:val="24"/>
        </w:rPr>
        <w:t>Розділ 1. Резюме муніципального енергетичного плану</w:t>
      </w:r>
      <w:bookmarkEnd w:id="19"/>
    </w:p>
    <w:p>
      <w:pPr>
        <w:pStyle w:val="BodyText"/>
        <w:spacing w:before="0" w:after="0"/>
        <w:ind w:firstLine="567"/>
        <w:jc w:val="both"/>
        <w:rPr/>
      </w:pPr>
      <w:r>
        <w:rPr>
          <w:rFonts w:eastAsia="Times New Roman" w:cs="Times New Roman" w:ascii="Times New Roman" w:hAnsi="Times New Roman"/>
          <w:color w:val="000000"/>
          <w:sz w:val="24"/>
          <w:szCs w:val="24"/>
          <w:shd w:fill="FFFFFF" w:val="clear"/>
          <w:lang w:eastAsia="ru-RU"/>
        </w:rPr>
        <w:t xml:space="preserve">За результатами енергетичного планування Луцька МТГ ставить перед собою наступні конкретні цілі сталого енергетичного розвитку. </w:t>
      </w:r>
    </w:p>
    <w:p>
      <w:pPr>
        <w:pStyle w:val="BodyText"/>
        <w:spacing w:before="0" w:after="0"/>
        <w:ind w:firstLine="567"/>
        <w:jc w:val="center"/>
        <w:rPr/>
      </w:pPr>
      <w:r>
        <w:rPr>
          <w:rFonts w:eastAsia="Times New Roman" w:cs="Times New Roman" w:ascii="Times New Roman" w:hAnsi="Times New Roman"/>
          <w:color w:val="000000"/>
          <w:sz w:val="24"/>
          <w:szCs w:val="24"/>
          <w:shd w:fill="FFFFFF" w:val="clear"/>
          <w:lang w:eastAsia="ru-RU"/>
        </w:rPr>
        <w:t>Таблиця 1.1. </w:t>
      </w:r>
      <w:r>
        <w:rPr>
          <w:rFonts w:eastAsia="Times New Roman" w:cs="Times New Roman" w:ascii="Times New Roman" w:hAnsi="Times New Roman"/>
          <w:color w:val="000000"/>
          <w:sz w:val="24"/>
          <w:szCs w:val="24"/>
          <w:shd w:fill="FFFFFF" w:val="clear"/>
          <w:lang w:eastAsia="uk-UA"/>
        </w:rPr>
        <w:t>Конкретні цілі Луцької МТГ до 2030 року</w:t>
      </w:r>
    </w:p>
    <w:tbl>
      <w:tblPr>
        <w:tblW w:w="9789" w:type="dxa"/>
        <w:jc w:val="start"/>
        <w:tblInd w:w="80" w:type="dxa"/>
        <w:tblLayout w:type="fixed"/>
        <w:tblCellMar>
          <w:top w:w="55" w:type="dxa"/>
          <w:start w:w="108" w:type="dxa"/>
          <w:bottom w:w="55" w:type="dxa"/>
          <w:end w:w="108" w:type="dxa"/>
        </w:tblCellMar>
        <w:tblLook w:firstRow="1" w:noVBand="1" w:lastRow="0" w:firstColumn="1" w:lastColumn="0" w:noHBand="0" w:val="04a0"/>
      </w:tblPr>
      <w:tblGrid>
        <w:gridCol w:w="4873"/>
        <w:gridCol w:w="4915"/>
      </w:tblGrid>
      <w:tr>
        <w:trPr/>
        <w:tc>
          <w:tcPr>
            <w:tcW w:w="4873" w:type="dxa"/>
            <w:tcBorders>
              <w:top w:val="single" w:sz="4" w:space="0" w:color="000000"/>
              <w:start w:val="single" w:sz="4" w:space="0" w:color="000000"/>
              <w:bottom w:val="single" w:sz="4" w:space="0" w:color="000000"/>
            </w:tcBorders>
          </w:tcPr>
          <w:p>
            <w:pPr>
              <w:pStyle w:val="Normal"/>
              <w:spacing w:before="0" w:after="0"/>
              <w:jc w:val="center"/>
              <w:rPr/>
            </w:pPr>
            <w:r>
              <w:rPr>
                <w:rFonts w:cs="Times New Roman" w:ascii="Times New Roman" w:hAnsi="Times New Roman"/>
                <w:sz w:val="20"/>
                <w:szCs w:val="20"/>
                <w:shd w:fill="FFFFFF" w:val="clear"/>
                <w:lang w:eastAsia="ru-RU"/>
              </w:rPr>
              <w:t>Конкретні цілі</w:t>
            </w:r>
          </w:p>
        </w:tc>
        <w:tc>
          <w:tcPr>
            <w:tcW w:w="4915"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pPr>
            <w:r>
              <w:rPr>
                <w:rFonts w:cs="Times New Roman" w:ascii="Times New Roman" w:hAnsi="Times New Roman"/>
                <w:sz w:val="20"/>
                <w:szCs w:val="20"/>
                <w:shd w:fill="FFFFFF" w:val="clear"/>
                <w:lang w:eastAsia="ru-RU"/>
              </w:rPr>
              <w:t>Кількісні показники</w:t>
            </w:r>
          </w:p>
        </w:tc>
      </w:tr>
      <w:tr>
        <w:trPr/>
        <w:tc>
          <w:tcPr>
            <w:tcW w:w="4873" w:type="dxa"/>
            <w:tcBorders>
              <w:start w:val="single" w:sz="4" w:space="0" w:color="000000"/>
              <w:bottom w:val="single" w:sz="4" w:space="0" w:color="000000"/>
            </w:tcBorders>
            <w:vAlign w:val="center"/>
          </w:tcPr>
          <w:p>
            <w:pPr>
              <w:pStyle w:val="Normal"/>
              <w:spacing w:before="0" w:after="0"/>
              <w:rPr>
                <w:sz w:val="20"/>
                <w:szCs w:val="20"/>
              </w:rPr>
            </w:pPr>
            <w:r>
              <w:rPr>
                <w:rFonts w:ascii="Times New Roman" w:hAnsi="Times New Roman"/>
                <w:sz w:val="20"/>
                <w:szCs w:val="20"/>
                <w:lang w:eastAsia="ru-RU"/>
              </w:rPr>
              <w:t>Скорочення енергоспоживання внаслідок підвищення енергоефективності</w:t>
            </w:r>
          </w:p>
        </w:tc>
        <w:tc>
          <w:tcPr>
            <w:tcW w:w="4915" w:type="dxa"/>
            <w:tcBorders>
              <w:start w:val="single" w:sz="4" w:space="0" w:color="000000"/>
              <w:bottom w:val="single" w:sz="4" w:space="0" w:color="000000"/>
              <w:end w:val="single" w:sz="4" w:space="0" w:color="000000"/>
            </w:tcBorders>
            <w:vAlign w:val="center"/>
          </w:tcPr>
          <w:p>
            <w:pPr>
              <w:pStyle w:val="Normal"/>
              <w:spacing w:before="0" w:after="0"/>
              <w:jc w:val="center"/>
              <w:rPr>
                <w:sz w:val="20"/>
                <w:szCs w:val="20"/>
              </w:rPr>
            </w:pPr>
            <w:r>
              <w:rPr>
                <w:rFonts w:ascii="Times New Roman" w:hAnsi="Times New Roman"/>
                <w:sz w:val="20"/>
                <w:szCs w:val="20"/>
                <w:shd w:fill="FFFFFF" w:val="clear"/>
                <w:lang w:eastAsia="ru-RU"/>
              </w:rPr>
              <w:t xml:space="preserve">17 % або 304 609,4 </w:t>
            </w:r>
            <w:r>
              <w:rPr>
                <w:rFonts w:eastAsia="Microsoft Sans Serif" w:cs="Times New Roman" w:ascii="Times New Roman" w:hAnsi="Times New Roman"/>
                <w:color w:val="000000"/>
                <w:kern w:val="2"/>
                <w:sz w:val="20"/>
                <w:szCs w:val="20"/>
                <w:shd w:fill="FFFFFF" w:val="clear"/>
                <w:lang w:eastAsia="ru-RU"/>
              </w:rPr>
              <w:t>МВт∙год</w:t>
            </w:r>
          </w:p>
        </w:tc>
      </w:tr>
      <w:tr>
        <w:trPr/>
        <w:tc>
          <w:tcPr>
            <w:tcW w:w="4873" w:type="dxa"/>
            <w:tcBorders>
              <w:start w:val="single" w:sz="4" w:space="0" w:color="000000"/>
              <w:bottom w:val="single" w:sz="4" w:space="0" w:color="000000"/>
            </w:tcBorders>
            <w:vAlign w:val="center"/>
          </w:tcPr>
          <w:p>
            <w:pPr>
              <w:pStyle w:val="Normal"/>
              <w:spacing w:before="0" w:after="0"/>
              <w:rPr>
                <w:sz w:val="20"/>
                <w:szCs w:val="20"/>
              </w:rPr>
            </w:pPr>
            <w:r>
              <w:rPr>
                <w:rFonts w:ascii="Times New Roman" w:hAnsi="Times New Roman"/>
                <w:sz w:val="20"/>
                <w:szCs w:val="20"/>
                <w:lang w:eastAsia="uk-UA"/>
              </w:rPr>
              <w:t>Підвищення частки ВДЕ в кінцевому споживанні енергії</w:t>
            </w:r>
          </w:p>
        </w:tc>
        <w:tc>
          <w:tcPr>
            <w:tcW w:w="4915" w:type="dxa"/>
            <w:tcBorders>
              <w:start w:val="single" w:sz="4" w:space="0" w:color="000000"/>
              <w:bottom w:val="single" w:sz="4" w:space="0" w:color="000000"/>
              <w:end w:val="single" w:sz="4" w:space="0" w:color="000000"/>
            </w:tcBorders>
            <w:vAlign w:val="center"/>
          </w:tcPr>
          <w:p>
            <w:pPr>
              <w:pStyle w:val="Normal"/>
              <w:spacing w:before="0" w:after="0"/>
              <w:jc w:val="center"/>
              <w:rPr>
                <w:sz w:val="20"/>
                <w:szCs w:val="20"/>
              </w:rPr>
            </w:pPr>
            <w:r>
              <w:rPr>
                <w:rFonts w:ascii="Times New Roman" w:hAnsi="Times New Roman"/>
                <w:sz w:val="20"/>
                <w:szCs w:val="20"/>
                <w:shd w:fill="FFFFFF" w:val="clear"/>
                <w:lang w:eastAsia="ru-RU"/>
              </w:rPr>
              <w:t xml:space="preserve">3,7 %, або  66 342 </w:t>
            </w:r>
            <w:r>
              <w:rPr>
                <w:rFonts w:eastAsia="Microsoft Sans Serif" w:cs="Times New Roman" w:ascii="Times New Roman" w:hAnsi="Times New Roman"/>
                <w:color w:val="000000"/>
                <w:kern w:val="2"/>
                <w:sz w:val="20"/>
                <w:szCs w:val="20"/>
                <w:shd w:fill="FFFFFF" w:val="clear"/>
                <w:lang w:eastAsia="ru-RU"/>
              </w:rPr>
              <w:t>МВт∙год</w:t>
            </w:r>
          </w:p>
        </w:tc>
      </w:tr>
    </w:tbl>
    <w:p>
      <w:pPr>
        <w:pStyle w:val="Normal"/>
        <w:spacing w:before="240" w:after="0"/>
        <w:ind w:firstLine="709"/>
        <w:jc w:val="both"/>
        <w:rPr/>
      </w:pPr>
      <w:r>
        <w:rPr>
          <w:rFonts w:cs="Times New Roman" w:ascii="Times New Roman" w:hAnsi="Times New Roman"/>
          <w:sz w:val="24"/>
          <w:szCs w:val="24"/>
          <w:shd w:fill="FFFFFF" w:val="clear"/>
          <w:lang w:eastAsia="ru-RU"/>
        </w:rPr>
        <w:t xml:space="preserve">В таблиці 1.2. </w:t>
      </w:r>
      <w:r>
        <w:rPr>
          <w:rFonts w:cs="Times New Roman" w:ascii="Times New Roman" w:hAnsi="Times New Roman"/>
          <w:sz w:val="24"/>
          <w:szCs w:val="24"/>
          <w:lang w:eastAsia="ru-RU"/>
        </w:rPr>
        <w:t xml:space="preserve">наведені секторальні цілі сталого енергетичного розвитку Луцької МТГ (назви та порядок секторів наведені відповідно до наказу Мінрозвитку від 21.12.2023 № 1163 «Про затвердження Методики розроблення місцевих енергетичних планів» (методології МЕП). Показники підвищення енергоефективності та розвитку ВДЕ вказані відносно базової лінії енергоспоживання </w:t>
      </w:r>
      <w:r>
        <w:rPr>
          <w:rFonts w:cs="Times New Roman" w:ascii="Times New Roman" w:hAnsi="Times New Roman"/>
          <w:sz w:val="24"/>
          <w:szCs w:val="24"/>
          <w:lang w:val="en-US" w:eastAsia="ru-RU"/>
        </w:rPr>
        <w:t>(ф</w:t>
      </w:r>
      <w:r>
        <w:rPr>
          <w:rFonts w:cs="Times New Roman" w:ascii="Times New Roman" w:hAnsi="Times New Roman"/>
          <w:sz w:val="24"/>
          <w:szCs w:val="24"/>
          <w:lang w:eastAsia="ru-RU"/>
        </w:rPr>
        <w:t>актичні/прогнозовані значення енергоспоживання за відповідний рік).</w:t>
      </w:r>
    </w:p>
    <w:p>
      <w:pPr>
        <w:pStyle w:val="Normal"/>
        <w:spacing w:before="0" w:after="0"/>
        <w:jc w:val="center"/>
        <w:rPr/>
      </w:pPr>
      <w:r>
        <w:rPr>
          <w:rFonts w:cs="Times New Roman" w:ascii="Times New Roman" w:hAnsi="Times New Roman"/>
          <w:sz w:val="24"/>
          <w:szCs w:val="24"/>
          <w:shd w:fill="FFFFFF" w:val="clear"/>
          <w:lang w:eastAsia="ru-RU"/>
        </w:rPr>
        <w:t>Таблиця 1.2. Секто</w:t>
      </w:r>
      <w:r>
        <w:rPr>
          <w:rFonts w:cs="Times New Roman" w:ascii="Times New Roman" w:hAnsi="Times New Roman"/>
          <w:sz w:val="24"/>
          <w:szCs w:val="24"/>
          <w:lang w:eastAsia="ru-RU"/>
        </w:rPr>
        <w:t>ральні цілі щодо підвищення енергоефективності та розвитку ВДЕ до 2030 року</w:t>
      </w:r>
    </w:p>
    <w:tbl>
      <w:tblPr>
        <w:tblW w:w="9798" w:type="dxa"/>
        <w:jc w:val="start"/>
        <w:tblInd w:w="79" w:type="dxa"/>
        <w:tblLayout w:type="fixed"/>
        <w:tblCellMar>
          <w:top w:w="0" w:type="dxa"/>
          <w:start w:w="108" w:type="dxa"/>
          <w:bottom w:w="0" w:type="dxa"/>
          <w:end w:w="108" w:type="dxa"/>
        </w:tblCellMar>
        <w:tblLook w:firstRow="1" w:noVBand="1" w:lastRow="0" w:firstColumn="1" w:lastColumn="0" w:noHBand="0" w:val="04a0"/>
      </w:tblPr>
      <w:tblGrid>
        <w:gridCol w:w="4309"/>
        <w:gridCol w:w="1466"/>
        <w:gridCol w:w="1365"/>
        <w:gridCol w:w="675"/>
        <w:gridCol w:w="1305"/>
        <w:gridCol w:w="677"/>
      </w:tblGrid>
      <w:tr>
        <w:trPr/>
        <w:tc>
          <w:tcPr>
            <w:tcW w:w="430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Назва сектору</w:t>
            </w:r>
          </w:p>
        </w:tc>
        <w:tc>
          <w:tcPr>
            <w:tcW w:w="5488" w:type="dxa"/>
            <w:gridSpan w:val="5"/>
            <w:tcBorders>
              <w:top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2030</w:t>
            </w:r>
          </w:p>
        </w:tc>
      </w:tr>
      <w:tr>
        <w:trPr/>
        <w:tc>
          <w:tcPr>
            <w:tcW w:w="43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0"/>
              <w:rPr>
                <w:rFonts w:ascii="Times New Roman" w:hAnsi="Times New Roman"/>
                <w:sz w:val="20"/>
                <w:szCs w:val="20"/>
              </w:rPr>
            </w:pPr>
            <w:r>
              <w:rPr>
                <w:rFonts w:ascii="Times New Roman" w:hAnsi="Times New Roman"/>
                <w:sz w:val="20"/>
                <w:szCs w:val="20"/>
              </w:rPr>
            </w:r>
          </w:p>
        </w:tc>
        <w:tc>
          <w:tcPr>
            <w:tcW w:w="146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Прогнозоване кінцеве споживання енергії</w:t>
            </w:r>
          </w:p>
        </w:tc>
        <w:tc>
          <w:tcPr>
            <w:tcW w:w="204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Підвищення енергоефективності</w:t>
            </w:r>
          </w:p>
        </w:tc>
        <w:tc>
          <w:tcPr>
            <w:tcW w:w="1982" w:type="dxa"/>
            <w:gridSpan w:val="2"/>
            <w:tcBorders>
              <w:top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Розвиток ВДЕ</w:t>
            </w:r>
          </w:p>
        </w:tc>
      </w:tr>
      <w:tr>
        <w:trPr/>
        <w:tc>
          <w:tcPr>
            <w:tcW w:w="43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0"/>
              <w:rPr>
                <w:rFonts w:ascii="Times New Roman" w:hAnsi="Times New Roman"/>
                <w:sz w:val="20"/>
                <w:szCs w:val="20"/>
              </w:rPr>
            </w:pPr>
            <w:r>
              <w:rPr>
                <w:rFonts w:ascii="Times New Roman" w:hAnsi="Times New Roman"/>
                <w:sz w:val="20"/>
                <w:szCs w:val="20"/>
              </w:rPr>
            </w:r>
          </w:p>
        </w:tc>
        <w:tc>
          <w:tcPr>
            <w:tcW w:w="1466"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МВт</w:t>
            </w:r>
            <w:r>
              <w:rPr>
                <w:rFonts w:eastAsia="Times New Roman" w:cs="Cambria Math" w:ascii="Times New Roman" w:hAnsi="Times New Roman"/>
                <w:color w:val="000000"/>
                <w:sz w:val="20"/>
                <w:szCs w:val="20"/>
              </w:rPr>
              <w:t>.</w:t>
            </w:r>
            <w:r>
              <w:rPr>
                <w:rFonts w:eastAsia="Times New Roman" w:cs="Times New Roman" w:ascii="Times New Roman" w:hAnsi="Times New Roman"/>
                <w:color w:val="000000"/>
                <w:sz w:val="20"/>
                <w:szCs w:val="20"/>
              </w:rPr>
              <w:t>год/рік</w:t>
            </w:r>
          </w:p>
        </w:tc>
        <w:tc>
          <w:tcPr>
            <w:tcW w:w="1365"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МВт</w:t>
            </w:r>
            <w:r>
              <w:rPr>
                <w:rFonts w:eastAsia="Times New Roman" w:cs="Cambria Math" w:ascii="Times New Roman" w:hAnsi="Times New Roman"/>
                <w:color w:val="000000"/>
                <w:sz w:val="20"/>
                <w:szCs w:val="20"/>
              </w:rPr>
              <w:t>.</w:t>
            </w:r>
            <w:r>
              <w:rPr>
                <w:rFonts w:eastAsia="Times New Roman" w:cs="Times New Roman" w:ascii="Times New Roman" w:hAnsi="Times New Roman"/>
                <w:color w:val="000000"/>
                <w:sz w:val="20"/>
                <w:szCs w:val="20"/>
              </w:rPr>
              <w:t>год/рік</w:t>
            </w:r>
          </w:p>
        </w:tc>
        <w:tc>
          <w:tcPr>
            <w:tcW w:w="675"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w:t>
            </w:r>
          </w:p>
        </w:tc>
        <w:tc>
          <w:tcPr>
            <w:tcW w:w="1305"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МВт</w:t>
            </w:r>
            <w:r>
              <w:rPr>
                <w:rFonts w:eastAsia="Times New Roman" w:cs="Cambria Math" w:ascii="Times New Roman" w:hAnsi="Times New Roman"/>
                <w:color w:val="000000"/>
                <w:sz w:val="20"/>
                <w:szCs w:val="20"/>
              </w:rPr>
              <w:t>.</w:t>
            </w:r>
            <w:r>
              <w:rPr>
                <w:rFonts w:eastAsia="Times New Roman" w:cs="Times New Roman" w:ascii="Times New Roman" w:hAnsi="Times New Roman"/>
                <w:color w:val="000000"/>
                <w:sz w:val="20"/>
                <w:szCs w:val="20"/>
              </w:rPr>
              <w:t>год/рік</w:t>
            </w:r>
          </w:p>
        </w:tc>
        <w:tc>
          <w:tcPr>
            <w:tcW w:w="677" w:type="dxa"/>
            <w:tcBorders>
              <w:top w:val="single" w:sz="4" w:space="0" w:color="000000"/>
              <w:start w:val="single" w:sz="4" w:space="0" w:color="000000"/>
              <w:bottom w:val="single" w:sz="4" w:space="0" w:color="000000"/>
              <w:end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w:t>
            </w:r>
          </w:p>
        </w:tc>
      </w:tr>
      <w:tr>
        <w:trPr/>
        <w:tc>
          <w:tcPr>
            <w:tcW w:w="9797" w:type="dxa"/>
            <w:gridSpan w:val="6"/>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Обов'язкові сектори</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Громадські будівлі (Муніципальні будівлі)</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99928,3</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186,9</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0,2</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Житлові будівлі</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981233,6</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240000,0</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24,5</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58242,0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5,9</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теплопостачання</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104359,9</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22788,2</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21,8</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водопостачання і водовідведення</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12900,0</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7580,0</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58,8</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управління побутовими відходами</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3997,9</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ascii="Times New Roman" w:hAnsi="Times New Roman"/>
                <w:sz w:val="20"/>
                <w:szCs w:val="20"/>
              </w:rPr>
              <w:t>Зовнішнє освітлення</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3708,0</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Громадський транспорт</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37525,5</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1347,1</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3,6</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Всього:</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1243653,2</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271902,2</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21,9</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58242,0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4,7</w:t>
            </w:r>
          </w:p>
        </w:tc>
      </w:tr>
      <w:tr>
        <w:trPr/>
        <w:tc>
          <w:tcPr>
            <w:tcW w:w="9797" w:type="dxa"/>
            <w:gridSpan w:val="6"/>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cs="Times New Roman" w:ascii="Times New Roman" w:hAnsi="Times New Roman"/>
                <w:color w:val="000000"/>
                <w:sz w:val="20"/>
                <w:szCs w:val="20"/>
              </w:rPr>
              <w:t>Інші сектори</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Муніципальний транспорт</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4783,4</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800,0</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16,7</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ascii="Times New Roman" w:hAnsi="Times New Roman"/>
                <w:sz w:val="20"/>
                <w:szCs w:val="20"/>
              </w:rPr>
              <w:t>Приватний та комерційний транспорт</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204596,5</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5154,2</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2,5</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Третинні будівлі, обладнання/ об'єкти</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337694,5</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26752,9</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7,9</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1200,0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0,4</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Місцеве виробництво електроенергії з ВДЕ</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6900,0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Всього</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547074,4</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32707,1</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6,0</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8100,0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1,5</w:t>
            </w:r>
          </w:p>
        </w:tc>
      </w:tr>
      <w:tr>
        <w:trPr/>
        <w:tc>
          <w:tcPr>
            <w:tcW w:w="4309"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ЗАГАЛОМ:</w:t>
            </w:r>
          </w:p>
        </w:tc>
        <w:tc>
          <w:tcPr>
            <w:tcW w:w="1466"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1790727,7</w:t>
            </w:r>
          </w:p>
        </w:tc>
        <w:tc>
          <w:tcPr>
            <w:tcW w:w="136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304609,4</w:t>
            </w:r>
          </w:p>
        </w:tc>
        <w:tc>
          <w:tcPr>
            <w:tcW w:w="67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17,0</w:t>
            </w:r>
          </w:p>
        </w:tc>
        <w:tc>
          <w:tcPr>
            <w:tcW w:w="1305"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66342,0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3,7</w:t>
            </w:r>
          </w:p>
        </w:tc>
      </w:tr>
    </w:tbl>
    <w:p>
      <w:pPr>
        <w:pStyle w:val="Normal"/>
        <w:spacing w:lineRule="auto" w:line="240" w:before="0" w:after="0"/>
        <w:rPr>
          <w:sz w:val="16"/>
          <w:szCs w:val="16"/>
        </w:rPr>
      </w:pPr>
      <w:r>
        <w:rPr>
          <w:rFonts w:eastAsia="Times New Roman" w:cs="Times New Roman" w:ascii="Times New Roman" w:hAnsi="Times New Roman"/>
          <w:color w:val="000000"/>
          <w:sz w:val="16"/>
          <w:szCs w:val="16"/>
          <w:shd w:fill="FFFFFF" w:val="clear"/>
          <w:lang w:eastAsia="ru-RU"/>
        </w:rPr>
        <w:t>*Тут і далі по тексту всі відносні показники заокруглені до цілих значень</w:t>
      </w:r>
    </w:p>
    <w:p>
      <w:pPr>
        <w:pStyle w:val="Normal"/>
        <w:spacing w:lineRule="auto" w:line="240" w:before="0" w:after="0"/>
        <w:jc w:val="center"/>
        <w:rPr/>
      </w:pPr>
      <w:r>
        <w:rPr>
          <w:rFonts w:eastAsia="Times New Roman" w:cs="Times New Roman" w:ascii="Times New Roman" w:hAnsi="Times New Roman"/>
          <w:color w:val="000000"/>
          <w:sz w:val="24"/>
          <w:szCs w:val="24"/>
          <w:shd w:fill="FFFFFF" w:val="clear"/>
          <w:lang w:eastAsia="ru-RU"/>
        </w:rPr>
        <w:t>Таблиця 1.3. </w:t>
      </w:r>
      <w:r>
        <w:rPr>
          <w:rFonts w:eastAsia="Times New Roman" w:cs="Times New Roman" w:ascii="Times New Roman" w:hAnsi="Times New Roman"/>
          <w:color w:val="000000"/>
          <w:sz w:val="24"/>
          <w:szCs w:val="24"/>
          <w:shd w:fill="FFFFFF" w:val="clear"/>
          <w:lang w:eastAsia="uk-UA"/>
        </w:rPr>
        <w:t>Узагальнені показники потреби в фінансових ресурсах для виконання муніципального енергетичного плану на 2025-2030 роки за основними джерелами фінансування</w:t>
      </w:r>
    </w:p>
    <w:tbl>
      <w:tblPr>
        <w:tblW w:w="9795" w:type="dxa"/>
        <w:jc w:val="start"/>
        <w:tblInd w:w="79" w:type="dxa"/>
        <w:tblLayout w:type="fixed"/>
        <w:tblCellMar>
          <w:top w:w="55" w:type="dxa"/>
          <w:start w:w="108" w:type="dxa"/>
          <w:bottom w:w="55" w:type="dxa"/>
          <w:end w:w="108" w:type="dxa"/>
        </w:tblCellMar>
        <w:tblLook w:firstRow="1" w:noVBand="1" w:lastRow="0" w:firstColumn="1" w:lastColumn="0" w:noHBand="0" w:val="04a0"/>
      </w:tblPr>
      <w:tblGrid>
        <w:gridCol w:w="2819"/>
        <w:gridCol w:w="1399"/>
        <w:gridCol w:w="1394"/>
        <w:gridCol w:w="1405"/>
        <w:gridCol w:w="1392"/>
        <w:gridCol w:w="1385"/>
      </w:tblGrid>
      <w:tr>
        <w:trPr/>
        <w:tc>
          <w:tcPr>
            <w:tcW w:w="2819"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Обов'язкові сектори</w:t>
            </w:r>
          </w:p>
        </w:tc>
        <w:tc>
          <w:tcPr>
            <w:tcW w:w="1399"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Бюджет ТГ</w:t>
            </w:r>
          </w:p>
          <w:p>
            <w:pPr>
              <w:pStyle w:val="Normal"/>
              <w:spacing w:lineRule="auto" w:line="240" w:before="0" w:after="0"/>
              <w:jc w:val="center"/>
              <w:rPr/>
            </w:pPr>
            <w:r>
              <w:rPr>
                <w:rFonts w:eastAsia="Times New Roman" w:cs="Times New Roman" w:ascii="Times New Roman" w:hAnsi="Times New Roman"/>
                <w:color w:val="000000"/>
                <w:sz w:val="20"/>
                <w:szCs w:val="20"/>
              </w:rPr>
              <w:t>млн грн</w:t>
            </w:r>
          </w:p>
        </w:tc>
        <w:tc>
          <w:tcPr>
            <w:tcW w:w="139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Обласний бюджет</w:t>
            </w:r>
          </w:p>
          <w:p>
            <w:pPr>
              <w:pStyle w:val="Normal"/>
              <w:spacing w:lineRule="auto" w:line="240" w:before="0" w:after="0"/>
              <w:jc w:val="center"/>
              <w:rPr/>
            </w:pPr>
            <w:r>
              <w:rPr>
                <w:rFonts w:eastAsia="Times New Roman" w:cs="Times New Roman" w:ascii="Times New Roman" w:hAnsi="Times New Roman"/>
                <w:color w:val="000000"/>
                <w:sz w:val="20"/>
                <w:szCs w:val="20"/>
              </w:rPr>
              <w:t>млн грн</w:t>
            </w:r>
          </w:p>
        </w:tc>
        <w:tc>
          <w:tcPr>
            <w:tcW w:w="140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Державний бюджет</w:t>
            </w:r>
          </w:p>
          <w:p>
            <w:pPr>
              <w:pStyle w:val="Normal"/>
              <w:spacing w:lineRule="auto" w:line="240" w:before="0" w:after="0"/>
              <w:jc w:val="center"/>
              <w:rPr/>
            </w:pPr>
            <w:r>
              <w:rPr>
                <w:rFonts w:eastAsia="Times New Roman" w:cs="Times New Roman" w:ascii="Times New Roman" w:hAnsi="Times New Roman"/>
                <w:color w:val="000000"/>
                <w:sz w:val="20"/>
                <w:szCs w:val="20"/>
              </w:rPr>
              <w:t>млн грн</w:t>
            </w:r>
          </w:p>
        </w:tc>
        <w:tc>
          <w:tcPr>
            <w:tcW w:w="1392"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Інший</w:t>
            </w:r>
          </w:p>
          <w:p>
            <w:pPr>
              <w:pStyle w:val="Normal"/>
              <w:spacing w:lineRule="auto" w:line="240" w:before="0" w:after="0"/>
              <w:jc w:val="center"/>
              <w:rPr/>
            </w:pPr>
            <w:r>
              <w:rPr>
                <w:rFonts w:eastAsia="Times New Roman" w:cs="Times New Roman" w:ascii="Times New Roman" w:hAnsi="Times New Roman"/>
                <w:color w:val="000000"/>
                <w:sz w:val="20"/>
                <w:szCs w:val="20"/>
              </w:rPr>
              <w:t>млн грн</w:t>
            </w:r>
          </w:p>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3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Разом</w:t>
            </w:r>
          </w:p>
          <w:p>
            <w:pPr>
              <w:pStyle w:val="Normal"/>
              <w:spacing w:lineRule="auto" w:line="240" w:before="0" w:after="0"/>
              <w:jc w:val="center"/>
              <w:rPr/>
            </w:pPr>
            <w:r>
              <w:rPr>
                <w:rFonts w:eastAsia="Times New Roman" w:cs="Times New Roman" w:ascii="Times New Roman" w:hAnsi="Times New Roman"/>
                <w:color w:val="000000"/>
                <w:sz w:val="20"/>
                <w:szCs w:val="20"/>
              </w:rPr>
              <w:t>млн грн</w:t>
            </w:r>
          </w:p>
        </w:tc>
      </w:tr>
      <w:tr>
        <w:trPr/>
        <w:tc>
          <w:tcPr>
            <w:tcW w:w="9794" w:type="dxa"/>
            <w:gridSpan w:val="6"/>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Обов’язкові сектори</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Громадські будівлі (Муніципальні будівлі)</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54,7</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154,4</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209,1</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Житлові будівлі</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991,5</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2313,5</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3305,0</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теплопостачання</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283,3</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1133,2</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1416,5</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водопостачання і водовідведення</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41,0</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41,0</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управління побутовими відходами</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1,0</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1,0</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Громадський транспорт</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66,2</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263,9</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330,1</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Всього:</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1437,7</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2313,5</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1551,5</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5302,7</w:t>
            </w:r>
          </w:p>
        </w:tc>
      </w:tr>
      <w:tr>
        <w:trPr/>
        <w:tc>
          <w:tcPr>
            <w:tcW w:w="9794" w:type="dxa"/>
            <w:gridSpan w:val="6"/>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cs="Times New Roman" w:ascii="Times New Roman" w:hAnsi="Times New Roman"/>
                <w:color w:val="000000"/>
                <w:sz w:val="20"/>
                <w:szCs w:val="20"/>
              </w:rPr>
              <w:t>Інші сектори</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Муніципальний транспорт</w:t>
            </w:r>
          </w:p>
        </w:tc>
        <w:tc>
          <w:tcPr>
            <w:tcW w:w="1399" w:type="dxa"/>
            <w:tcBorders>
              <w:start w:val="single" w:sz="4" w:space="0" w:color="000000"/>
              <w:bottom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90,3</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141,0</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231,3</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Третинні будівлі, обладнання/ об'єкти</w:t>
            </w:r>
          </w:p>
        </w:tc>
        <w:tc>
          <w:tcPr>
            <w:tcW w:w="1399" w:type="dxa"/>
            <w:tcBorders>
              <w:start w:val="single" w:sz="4" w:space="0" w:color="000000"/>
              <w:bottom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0,2</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0,2</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Місцеве виробництво електроенергії з ВДЕ</w:t>
            </w:r>
          </w:p>
        </w:tc>
        <w:tc>
          <w:tcPr>
            <w:tcW w:w="1399" w:type="dxa"/>
            <w:tcBorders>
              <w:start w:val="single" w:sz="4" w:space="0" w:color="000000"/>
              <w:bottom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5,1</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190,4</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195,5</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Всього</w:t>
            </w:r>
          </w:p>
        </w:tc>
        <w:tc>
          <w:tcPr>
            <w:tcW w:w="1399" w:type="dxa"/>
            <w:tcBorders>
              <w:start w:val="single" w:sz="4" w:space="0" w:color="000000"/>
              <w:bottom w:val="single" w:sz="4" w:space="0" w:color="000000"/>
            </w:tcBorders>
            <w:shd w:color="auto" w:fill="FFFFFF" w:val="clear"/>
            <w:vAlign w:val="center"/>
          </w:tcPr>
          <w:p>
            <w:pPr>
              <w:pStyle w:val="Normal"/>
              <w:widowControl w:val="false"/>
              <w:spacing w:before="0" w:after="0"/>
              <w:jc w:val="center"/>
              <w:rPr/>
            </w:pPr>
            <w:r>
              <w:rPr>
                <w:rFonts w:eastAsia="NSimSun" w:cs="Times New Roman" w:ascii="Times New Roman" w:hAnsi="Times New Roman"/>
                <w:bCs/>
                <w:color w:val="000000"/>
                <w:kern w:val="2"/>
                <w:sz w:val="20"/>
                <w:szCs w:val="20"/>
                <w:lang w:eastAsia="zh-CN" w:bidi="hi-IN"/>
              </w:rPr>
              <w:t>95,6</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331,4</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427,0</w:t>
            </w:r>
          </w:p>
        </w:tc>
      </w:tr>
      <w:tr>
        <w:trPr/>
        <w:tc>
          <w:tcPr>
            <w:tcW w:w="2819" w:type="dxa"/>
            <w:tcBorders>
              <w:start w:val="single" w:sz="4" w:space="0" w:color="000000"/>
              <w:bottom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ЗАГАЛОМ:</w:t>
            </w:r>
          </w:p>
        </w:tc>
        <w:tc>
          <w:tcPr>
            <w:tcW w:w="1399" w:type="dxa"/>
            <w:tcBorders>
              <w:start w:val="single" w:sz="4" w:space="0" w:color="000000"/>
              <w:bottom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1533,3</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0,0</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2313,5</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1882,9</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5729,5</w:t>
            </w:r>
          </w:p>
        </w:tc>
      </w:tr>
      <w:tr>
        <w:trPr/>
        <w:tc>
          <w:tcPr>
            <w:tcW w:w="2819" w:type="dxa"/>
            <w:tcBorders>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Розподіл бюджетів у %</w:t>
            </w:r>
          </w:p>
        </w:tc>
        <w:tc>
          <w:tcPr>
            <w:tcW w:w="1399"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27 %</w:t>
            </w:r>
          </w:p>
        </w:tc>
        <w:tc>
          <w:tcPr>
            <w:tcW w:w="1394"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0 %</w:t>
            </w:r>
          </w:p>
        </w:tc>
        <w:tc>
          <w:tcPr>
            <w:tcW w:w="1405"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40 %</w:t>
            </w:r>
          </w:p>
        </w:tc>
        <w:tc>
          <w:tcPr>
            <w:tcW w:w="1392" w:type="dxa"/>
            <w:tcBorders>
              <w:start w:val="single" w:sz="4" w:space="0" w:color="000000"/>
              <w:bottom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33 %</w:t>
            </w:r>
          </w:p>
        </w:tc>
        <w:tc>
          <w:tcPr>
            <w:tcW w:w="1385" w:type="dxa"/>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100 %</w:t>
            </w:r>
          </w:p>
        </w:tc>
      </w:tr>
    </w:tbl>
    <w:p>
      <w:pPr>
        <w:pStyle w:val="BodyText"/>
        <w:spacing w:before="0" w:after="0"/>
        <w:ind w:firstLine="567"/>
        <w:jc w:val="both"/>
        <w:rPr/>
      </w:pPr>
      <w:r>
        <w:rPr>
          <w:rFonts w:cs="Times New Roman" w:ascii="Times New Roman" w:hAnsi="Times New Roman"/>
          <w:color w:val="000000"/>
          <w:sz w:val="24"/>
          <w:szCs w:val="24"/>
          <w:shd w:fill="FFFFFF" w:val="clear"/>
        </w:rPr>
        <w:t xml:space="preserve">Реалізація цілей муніципального енергетичного плану Луцької МТГ до 2030 року планується шляхом впровадження енергоефективних заходів за наступними напрямками: </w:t>
      </w:r>
    </w:p>
    <w:p>
      <w:pPr>
        <w:pStyle w:val="BodyText"/>
        <w:spacing w:before="0" w:after="0"/>
        <w:ind w:firstLine="567"/>
        <w:jc w:val="both"/>
        <w:rPr/>
      </w:pPr>
      <w:r>
        <w:rPr>
          <w:rFonts w:cs="Times New Roman" w:ascii="Times New Roman" w:hAnsi="Times New Roman"/>
          <w:color w:val="000000"/>
          <w:sz w:val="24"/>
          <w:szCs w:val="24"/>
          <w:shd w:fill="FFFFFF" w:val="clear"/>
        </w:rPr>
        <w:t>покращення енергоефективності муніципальних будівель, в т. ч. через утеплення зовнішніх огороджувальних конструкцій;</w:t>
      </w:r>
    </w:p>
    <w:p>
      <w:pPr>
        <w:pStyle w:val="BodyText"/>
        <w:spacing w:before="0" w:after="0"/>
        <w:ind w:firstLine="567"/>
        <w:jc w:val="both"/>
        <w:rPr/>
      </w:pPr>
      <w:r>
        <w:rPr>
          <w:rFonts w:cs="Times New Roman" w:ascii="Times New Roman" w:hAnsi="Times New Roman"/>
          <w:color w:val="000000"/>
          <w:sz w:val="24"/>
          <w:szCs w:val="24"/>
          <w:shd w:fill="FFFFFF" w:val="clear"/>
        </w:rPr>
        <w:t>впровадження енергоефективних заходів для інженерних мереж та використання теплових насосів;</w:t>
      </w:r>
    </w:p>
    <w:p>
      <w:pPr>
        <w:pStyle w:val="BodyText"/>
        <w:spacing w:before="0" w:after="0"/>
        <w:ind w:firstLine="567"/>
        <w:jc w:val="both"/>
        <w:rPr/>
      </w:pPr>
      <w:r>
        <w:rPr>
          <w:rFonts w:cs="Times New Roman" w:ascii="Times New Roman" w:hAnsi="Times New Roman"/>
          <w:color w:val="000000"/>
          <w:sz w:val="24"/>
          <w:szCs w:val="24"/>
          <w:shd w:fill="FFFFFF" w:val="clear"/>
        </w:rPr>
        <w:t>термомодернізація житлових будівель;</w:t>
      </w:r>
    </w:p>
    <w:p>
      <w:pPr>
        <w:pStyle w:val="BodyText"/>
        <w:spacing w:before="0" w:after="0"/>
        <w:ind w:firstLine="567"/>
        <w:jc w:val="both"/>
        <w:rPr/>
      </w:pPr>
      <w:r>
        <w:rPr>
          <w:rFonts w:cs="Times New Roman" w:ascii="Times New Roman" w:hAnsi="Times New Roman"/>
          <w:color w:val="000000"/>
          <w:sz w:val="24"/>
          <w:szCs w:val="24"/>
          <w:shd w:fill="FFFFFF" w:val="clear"/>
        </w:rPr>
        <w:t>продовження робіт із модернізації систем водопостачання та водовідведення, в т.ч. очисних споруд;</w:t>
      </w:r>
    </w:p>
    <w:p>
      <w:pPr>
        <w:pStyle w:val="BodyText"/>
        <w:spacing w:before="0" w:after="0"/>
        <w:ind w:firstLine="567"/>
        <w:jc w:val="both"/>
        <w:rPr/>
      </w:pPr>
      <w:r>
        <w:rPr>
          <w:rFonts w:cs="Times New Roman" w:ascii="Times New Roman" w:hAnsi="Times New Roman"/>
          <w:color w:val="000000"/>
          <w:sz w:val="24"/>
          <w:szCs w:val="24"/>
          <w:shd w:fill="FFFFFF" w:val="clear"/>
        </w:rPr>
        <w:t>оновлення транспортної інфраструктури міста;</w:t>
      </w:r>
    </w:p>
    <w:p>
      <w:pPr>
        <w:pStyle w:val="BodyText"/>
        <w:spacing w:before="0" w:after="0"/>
        <w:ind w:firstLine="567"/>
        <w:jc w:val="both"/>
        <w:rPr/>
      </w:pPr>
      <w:r>
        <w:rPr>
          <w:rFonts w:cs="Times New Roman" w:ascii="Times New Roman" w:hAnsi="Times New Roman"/>
          <w:color w:val="000000"/>
          <w:sz w:val="24"/>
          <w:szCs w:val="24"/>
          <w:shd w:fill="FFFFFF" w:val="clear"/>
        </w:rPr>
        <w:t>переоснащення котелень міста із встановленням твердопаливних котлів;</w:t>
      </w:r>
    </w:p>
    <w:p>
      <w:pPr>
        <w:pStyle w:val="BodyText"/>
        <w:spacing w:before="0" w:after="0"/>
        <w:ind w:firstLine="567"/>
        <w:jc w:val="both"/>
        <w:rPr/>
      </w:pPr>
      <w:r>
        <w:rPr>
          <w:rFonts w:cs="Times New Roman" w:ascii="Times New Roman" w:hAnsi="Times New Roman"/>
          <w:color w:val="000000"/>
          <w:sz w:val="24"/>
          <w:szCs w:val="24"/>
          <w:shd w:fill="FFFFFF" w:val="clear"/>
        </w:rPr>
        <w:t>побудова СЕС та ВЕС для забезпечення енергетичної сталості та комерційного використання;</w:t>
      </w:r>
    </w:p>
    <w:p>
      <w:pPr>
        <w:pStyle w:val="BodyText"/>
        <w:spacing w:before="0" w:after="0"/>
        <w:ind w:firstLine="567"/>
        <w:jc w:val="both"/>
        <w:rPr/>
      </w:pPr>
      <w:r>
        <w:rPr>
          <w:rFonts w:cs="Times New Roman" w:ascii="Times New Roman" w:hAnsi="Times New Roman"/>
          <w:color w:val="000000"/>
          <w:sz w:val="24"/>
          <w:szCs w:val="24"/>
          <w:shd w:fill="FFFFFF" w:val="clear"/>
        </w:rPr>
        <w:t xml:space="preserve">проведення заходів із популяризації енергоефективності та використання ВДЕ. </w:t>
      </w:r>
    </w:p>
    <w:p>
      <w:pPr>
        <w:pStyle w:val="Normal"/>
        <w:spacing w:before="0" w:after="0"/>
        <w:ind w:firstLine="567"/>
        <w:jc w:val="both"/>
        <w:rPr/>
      </w:pPr>
      <w:r>
        <w:rPr>
          <w:rFonts w:ascii="Times New Roman" w:hAnsi="Times New Roman"/>
          <w:sz w:val="24"/>
          <w:szCs w:val="24"/>
        </w:rPr>
        <w:t xml:space="preserve">У таблиці 1.4. наведено зведений енергетичний баланс </w:t>
      </w:r>
      <w:r>
        <w:rPr>
          <w:rFonts w:eastAsia="Times New Roman" w:cs="Times New Roman" w:ascii="Times New Roman" w:hAnsi="Times New Roman"/>
          <w:color w:val="000000"/>
          <w:sz w:val="24"/>
          <w:szCs w:val="24"/>
          <w:lang w:eastAsia="uk-UA"/>
        </w:rPr>
        <w:t>на період МЕП із зазначенням кількісних показників по роках (тис. грн).</w:t>
      </w:r>
    </w:p>
    <w:p>
      <w:pPr>
        <w:pStyle w:val="ListParagraph"/>
        <w:spacing w:before="0" w:after="0"/>
        <w:ind w:start="0"/>
        <w:contextualSpacing w:val="false"/>
        <w:jc w:val="center"/>
        <w:rPr/>
      </w:pPr>
      <w:r>
        <w:rPr>
          <w:rFonts w:eastAsia="Times New Roman" w:cs="Times New Roman" w:ascii="Times New Roman" w:hAnsi="Times New Roman"/>
          <w:color w:val="000000"/>
          <w:sz w:val="24"/>
          <w:szCs w:val="24"/>
          <w:shd w:fill="FFFFFF" w:val="clear"/>
          <w:lang w:eastAsia="uk-UA"/>
        </w:rPr>
        <w:t>Таблиця 1.4. Енергетичний баланс на період МЕП із зазначенням кількісних показників,   тис. грн</w:t>
      </w:r>
    </w:p>
    <w:tbl>
      <w:tblPr>
        <w:tblW w:w="9810"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516"/>
        <w:gridCol w:w="2608"/>
        <w:gridCol w:w="1114"/>
        <w:gridCol w:w="1134"/>
        <w:gridCol w:w="1135"/>
        <w:gridCol w:w="1159"/>
        <w:gridCol w:w="1127"/>
        <w:gridCol w:w="1015"/>
      </w:tblGrid>
      <w:tr>
        <w:trPr>
          <w:trHeight w:val="276" w:hRule="atLeast"/>
        </w:trPr>
        <w:tc>
          <w:tcPr>
            <w:tcW w:w="516"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w:t>
            </w:r>
          </w:p>
        </w:tc>
        <w:tc>
          <w:tcPr>
            <w:tcW w:w="2608"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Назва сектору</w:t>
            </w:r>
          </w:p>
        </w:tc>
        <w:tc>
          <w:tcPr>
            <w:tcW w:w="1114"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2025</w:t>
            </w:r>
          </w:p>
        </w:tc>
        <w:tc>
          <w:tcPr>
            <w:tcW w:w="1134"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2026</w:t>
            </w:r>
          </w:p>
        </w:tc>
        <w:tc>
          <w:tcPr>
            <w:tcW w:w="1135"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2027</w:t>
            </w:r>
          </w:p>
        </w:tc>
        <w:tc>
          <w:tcPr>
            <w:tcW w:w="1159"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2028</w:t>
            </w:r>
          </w:p>
        </w:tc>
        <w:tc>
          <w:tcPr>
            <w:tcW w:w="1127"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2029</w:t>
            </w:r>
          </w:p>
        </w:tc>
        <w:tc>
          <w:tcPr>
            <w:tcW w:w="1015"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sz w:val="20"/>
                <w:szCs w:val="20"/>
              </w:rPr>
              <w:t>2030</w:t>
            </w:r>
          </w:p>
        </w:tc>
      </w:tr>
      <w:tr>
        <w:trPr>
          <w:trHeight w:val="276"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1</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Муніципальні будівлі</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209055,5</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0,0</w:t>
            </w:r>
          </w:p>
        </w:tc>
      </w:tr>
      <w:tr>
        <w:trPr>
          <w:trHeight w:val="477"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2</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Сфера водопостачання та водовідведення</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32207,2</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8750,2</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0,0</w:t>
            </w:r>
          </w:p>
        </w:tc>
      </w:tr>
      <w:tr>
        <w:trPr>
          <w:trHeight w:val="276"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3</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Третинні будівлі</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30,0</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33,0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24,0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18,0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15,0</w:t>
            </w:r>
          </w:p>
        </w:tc>
      </w:tr>
      <w:tr>
        <w:trPr>
          <w:trHeight w:val="276"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4</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Житлові будівлі</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429000,0</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471000,0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518000,0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570000,0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627000,0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690000,0</w:t>
            </w:r>
          </w:p>
        </w:tc>
      </w:tr>
      <w:tr>
        <w:trPr>
          <w:trHeight w:val="276"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5</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Транспорт</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199366,1</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219596,0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53500,0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34300,0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32100,0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22500,0</w:t>
            </w:r>
          </w:p>
        </w:tc>
      </w:tr>
      <w:tr>
        <w:trPr>
          <w:trHeight w:val="276"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6</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Сфера теплопостачання</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1059548,0</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356244,0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100,0</w:t>
            </w:r>
          </w:p>
        </w:tc>
      </w:tr>
      <w:tr>
        <w:trPr>
          <w:trHeight w:val="477"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7</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Генерація, постачання та розподіл електроенергії</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36550,0</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73100,0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56100,0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22100,0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5100,0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2550,0</w:t>
            </w:r>
          </w:p>
        </w:tc>
      </w:tr>
      <w:tr>
        <w:trPr>
          <w:trHeight w:val="477" w:hRule="atLeast"/>
        </w:trPr>
        <w:tc>
          <w:tcPr>
            <w:tcW w:w="51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8</w:t>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Поводження з твердими побутовими відходами</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100,0</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200,0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100,0</w:t>
            </w:r>
          </w:p>
        </w:tc>
      </w:tr>
      <w:tr>
        <w:trPr>
          <w:trHeight w:val="276" w:hRule="atLeast"/>
        </w:trPr>
        <w:tc>
          <w:tcPr>
            <w:tcW w:w="516" w:type="dxa"/>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2608"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Всього:</w:t>
            </w:r>
          </w:p>
        </w:tc>
        <w:tc>
          <w:tcPr>
            <w:tcW w:w="111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1965856,8</w:t>
            </w:r>
          </w:p>
        </w:tc>
        <w:tc>
          <w:tcPr>
            <w:tcW w:w="1134"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1128923,2</w:t>
            </w:r>
          </w:p>
        </w:tc>
        <w:tc>
          <w:tcPr>
            <w:tcW w:w="1135"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628030,0</w:t>
            </w:r>
          </w:p>
        </w:tc>
        <w:tc>
          <w:tcPr>
            <w:tcW w:w="11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626824,0</w:t>
            </w:r>
          </w:p>
        </w:tc>
        <w:tc>
          <w:tcPr>
            <w:tcW w:w="1127"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664618,0</w:t>
            </w:r>
          </w:p>
        </w:tc>
        <w:tc>
          <w:tcPr>
            <w:tcW w:w="1015"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715265,0</w:t>
            </w:r>
          </w:p>
        </w:tc>
      </w:tr>
    </w:tbl>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drawing>
          <wp:anchor behindDoc="0" distT="0" distB="0" distL="0" distR="0" simplePos="0" locked="0" layoutInCell="0" allowOverlap="1" relativeHeight="57">
            <wp:simplePos x="0" y="0"/>
            <wp:positionH relativeFrom="column">
              <wp:posOffset>625475</wp:posOffset>
            </wp:positionH>
            <wp:positionV relativeFrom="paragraph">
              <wp:posOffset>123190</wp:posOffset>
            </wp:positionV>
            <wp:extent cx="5162550" cy="2914015"/>
            <wp:effectExtent l="0" t="0" r="0" b="0"/>
            <wp:wrapSquare wrapText="largest"/>
            <wp:docPr id="2" name="Об'єкт16"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spacing w:before="0" w:after="0"/>
        <w:jc w:val="center"/>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Normal"/>
        <w:spacing w:before="0" w:after="0"/>
        <w:jc w:val="center"/>
        <w:rPr/>
      </w:pPr>
      <w:r>
        <w:rPr>
          <w:rFonts w:eastAsia="Times New Roman" w:cs="Times New Roman" w:ascii="Times New Roman" w:hAnsi="Times New Roman"/>
          <w:color w:val="000000"/>
          <w:sz w:val="24"/>
          <w:szCs w:val="24"/>
          <w:shd w:fill="FFFFFF" w:val="clear"/>
          <w:lang w:eastAsia="uk-UA"/>
        </w:rPr>
        <w:t>Рисунок 1.1. Зведений інвестиційний баланс за період 2025-2030 роки за категоріями кінцевих споживачів, тис. грн</w:t>
      </w:r>
    </w:p>
    <w:p>
      <w:pPr>
        <w:pStyle w:val="ListParagraph"/>
        <w:spacing w:before="0" w:after="0"/>
        <w:ind w:firstLine="567" w:start="0"/>
        <w:contextualSpacing w:val="false"/>
        <w:jc w:val="both"/>
        <w:rPr/>
      </w:pPr>
      <w:r>
        <w:rPr>
          <w:rFonts w:eastAsia="Times New Roman" w:cs="Times New Roman" w:ascii="Times New Roman" w:hAnsi="Times New Roman"/>
          <w:color w:val="000000"/>
          <w:sz w:val="24"/>
          <w:szCs w:val="24"/>
          <w:shd w:fill="FFFFFF" w:val="clear"/>
          <w:lang w:eastAsia="uk-UA"/>
        </w:rPr>
        <w:t>У таблиці 1.5. наведено календарний план реалізації муніципальних проєктів на період енергетичного плану із зазначенням кількісних показників по роках, млн грн.</w:t>
      </w:r>
    </w:p>
    <w:p>
      <w:pPr>
        <w:pStyle w:val="ListParagraph"/>
        <w:spacing w:before="0" w:after="0"/>
        <w:ind w:start="0"/>
        <w:contextualSpacing w:val="false"/>
        <w:jc w:val="center"/>
        <w:rPr/>
      </w:pPr>
      <w:r>
        <w:rPr>
          <w:rFonts w:eastAsia="Times New Roman" w:cs="Times New Roman" w:ascii="Times New Roman" w:hAnsi="Times New Roman"/>
          <w:color w:val="000000"/>
          <w:sz w:val="24"/>
          <w:szCs w:val="24"/>
          <w:lang w:eastAsia="uk-UA"/>
        </w:rPr>
        <w:t>Таблиця 1.5. Календарний план реалізації муніципальних проєктів на період енергетичного плану із зазначенням кількісних показників по роках, млн грн</w:t>
      </w:r>
    </w:p>
    <w:tbl>
      <w:tblPr>
        <w:tblW w:w="9825"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393"/>
        <w:gridCol w:w="5052"/>
        <w:gridCol w:w="675"/>
        <w:gridCol w:w="681"/>
        <w:gridCol w:w="585"/>
        <w:gridCol w:w="586"/>
        <w:gridCol w:w="572"/>
        <w:gridCol w:w="607"/>
        <w:gridCol w:w="673"/>
      </w:tblGrid>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color w:val="000000"/>
                <w:sz w:val="20"/>
                <w:szCs w:val="20"/>
              </w:rPr>
              <w:t>№</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Назва заходу</w:t>
            </w:r>
          </w:p>
        </w:tc>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2025</w:t>
            </w:r>
          </w:p>
        </w:tc>
        <w:tc>
          <w:tcPr>
            <w:tcW w:w="6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2026</w:t>
            </w:r>
          </w:p>
        </w:tc>
        <w:tc>
          <w:tcPr>
            <w:tcW w:w="58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2027</w:t>
            </w:r>
          </w:p>
        </w:tc>
        <w:tc>
          <w:tcPr>
            <w:tcW w:w="5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2028</w:t>
            </w:r>
          </w:p>
        </w:tc>
        <w:tc>
          <w:tcPr>
            <w:tcW w:w="57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2029</w:t>
            </w:r>
          </w:p>
        </w:tc>
        <w:tc>
          <w:tcPr>
            <w:tcW w:w="607"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2030</w:t>
            </w:r>
          </w:p>
        </w:tc>
        <w:tc>
          <w:tcPr>
            <w:tcW w:w="6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Разом</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Реконструкція комунального закладу «Луцька загальноосвітня школа І-ІІІ ступенів № 13» (корпус 2) на вул.Чернишевського, 29 в м. Луцьку Волинської області</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144,8</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144,8</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Створення багатофункціонального простору для бізнесу в місті Луцьку</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64,3</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64,3</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3</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Модернізація насосного обладнання на об’єктах водоканалу</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4</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Впровадження системи автоматизації управління та диспетчеризації технологічним процесом 1-го, 2-го та 3-го підйомів води</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5,4</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5,4</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5</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Реконструкція трансформаторної підстанції ТП № 345 (КНС № 2) в м. Луцьку</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7,8</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3,3</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11,1</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6</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Реконструкція РУ-10 кВ і РУ-0,4 кВ на КНС-4</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6,4</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6,4</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7</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Будівництво КНС для перекачування промивних вод Дубнівського водозабору</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12,6</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5,4</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18,0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8</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Встановлення біогазової установки для компенсації власного споживання електричної енергії</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9</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Реконструкція очисних споруд каналізації міста Луцька</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10</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Популяризація енергоефективності й використання ВДЕ серед представників бізнесу, навчальних закладів тощо</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0,03</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0,03</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0,03</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0,02</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0,02</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0,02</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0,15</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11</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Термомодернізація (пакет Б) та виконання окремих енергоефективних заходів (Пакет А) у житлових багатоквартирних будинках ОСББ за державною програмою "Енергодім",  встановлення СЕС та теплових насосів за державною програмою "Гріндім"; надання фінансової підтримки та відшкодування частини суми кредитів для ОСББ з бюджету громади Луцької МТГ</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429,0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471,0</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518,0</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570,0</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627,0</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690,0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3305,0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12</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Заміна авто та спецтранспорту КП «Луцькводоканал»</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6,6</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6,0</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4,8</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3,6</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30,0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13</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Оновлення тролейбусного парку м. Луцька</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165,0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165,0</w:t>
            </w:r>
          </w:p>
        </w:tc>
        <w:tc>
          <w:tcPr>
            <w:tcW w:w="58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330,0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14</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Оновлення інфраструктури електротранспорту міста Луцька Волинської області</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6,4</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6,4</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15</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Будівництво заїзних кишень для зупинки громадського пасажирського транспорту на маршрутах загального користування</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5,5</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5,0</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4,0</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3,0</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2,5</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25,0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16</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color w:val="000000"/>
                <w:sz w:val="20"/>
                <w:szCs w:val="20"/>
              </w:rPr>
              <w:t>Створення та розвиток велосипедної інфраструктури в м. Луцьку</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17,0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42,5</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42,5</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25,5</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25,5</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17,0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170,0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17</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Технічне переоснащення котельні зі встановлення твердопаливних котлів</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18</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Проєкт модернізації системи централізованого теплопостачання (друга фаза) у м. Луцьку в рамках програми RLF</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681,7</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681,7</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19</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Конденсаційна рекуперація тепла з димових газів–Луцьк 5 МВт</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21,7</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21,7</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Проєкт реконструкції системи централізованого теплопостачання у м. Луцьку</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356,0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356,0</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712,1</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21</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Будівництво комунальних СЕС для комерційного виробництва електроенергії</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2,6</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2,6</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25,5</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22</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Побудова комерційних приватних СЕС та ВЕС</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34,0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68,0</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51,0</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17,0</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170,0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23</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Удосконалення системи поводження з ТПВ</w:t>
            </w:r>
          </w:p>
        </w:tc>
        <w:tc>
          <w:tcPr>
            <w:tcW w:w="67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85"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86"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7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607"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1,0</w:t>
            </w:r>
          </w:p>
        </w:tc>
      </w:tr>
      <w:tr>
        <w:trPr/>
        <w:tc>
          <w:tcPr>
            <w:tcW w:w="393"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Разом</w:t>
            </w:r>
          </w:p>
        </w:tc>
        <w:tc>
          <w:tcPr>
            <w:tcW w:w="67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1965,9</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1128,9</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628,0</w:t>
            </w:r>
          </w:p>
        </w:tc>
        <w:tc>
          <w:tcPr>
            <w:tcW w:w="586"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626,8</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664,6</w:t>
            </w:r>
          </w:p>
        </w:tc>
        <w:tc>
          <w:tcPr>
            <w:tcW w:w="607"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715,3</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5729,5</w:t>
            </w:r>
          </w:p>
        </w:tc>
      </w:tr>
    </w:tbl>
    <w:p>
      <w:pPr>
        <w:pStyle w:val="Normal"/>
        <w:ind w:firstLine="567"/>
        <w:jc w:val="both"/>
        <w:rPr/>
      </w:pPr>
      <w:r>
        <w:rPr>
          <w:rFonts w:eastAsia="Times New Roman" w:cs="Times New Roman" w:ascii="Times New Roman" w:hAnsi="Times New Roman"/>
          <w:color w:val="000000"/>
          <w:sz w:val="24"/>
          <w:szCs w:val="24"/>
          <w:shd w:fill="FFFFFF" w:val="clear"/>
          <w:lang w:eastAsia="uk-UA"/>
        </w:rPr>
        <w:t>Календарний план реалізації заходів МЕП складений виходячи з планових та фактичних показників бюджету Луцької МТГ 2025 року, моделювання наступних періодів шляхом екстраполяції даних, тенденцій та закономірностей останніх кількох років. У разі появи нових проєктів, що матимуть суттєвий вплив на календарний план, буде внесено зміни в графік виконання МЕП та обсяги інвестицій.</w:t>
      </w:r>
      <w:r>
        <w:br w:type="page"/>
      </w:r>
    </w:p>
    <w:p>
      <w:pPr>
        <w:pStyle w:val="111"/>
        <w:spacing w:before="0" w:after="0"/>
        <w:ind w:firstLine="567"/>
        <w:jc w:val="both"/>
        <w:rPr>
          <w:sz w:val="24"/>
          <w:szCs w:val="24"/>
        </w:rPr>
      </w:pPr>
      <w:bookmarkStart w:id="22" w:name="__RefHeading___Toc57051_1484869573"/>
      <w:bookmarkEnd w:id="22"/>
      <w:r>
        <w:rPr>
          <w:rFonts w:cs="Times New Roman" w:ascii="Times New Roman" w:hAnsi="Times New Roman"/>
          <w:b/>
          <w:bCs/>
          <w:color w:val="auto"/>
          <w:sz w:val="24"/>
          <w:szCs w:val="24"/>
        </w:rPr>
        <w:t>Розділ 2. Резюме вихідного стану енергетичного розвитку Луцької МТГ</w:t>
      </w:r>
    </w:p>
    <w:p>
      <w:pPr>
        <w:pStyle w:val="111"/>
        <w:numPr>
          <w:ilvl w:val="0"/>
          <w:numId w:val="3"/>
        </w:numPr>
        <w:spacing w:before="0" w:after="0"/>
        <w:ind w:firstLine="567" w:start="0"/>
        <w:rPr>
          <w:sz w:val="24"/>
          <w:szCs w:val="24"/>
        </w:rPr>
      </w:pPr>
      <w:bookmarkStart w:id="23" w:name="__RefHeading___Toc27538_429042107"/>
      <w:bookmarkStart w:id="24" w:name="_Toc188020965"/>
      <w:bookmarkEnd w:id="23"/>
      <w:r>
        <w:rPr>
          <w:rFonts w:cs="Times New Roman" w:ascii="Times New Roman" w:hAnsi="Times New Roman"/>
          <w:b/>
          <w:bCs/>
          <w:color w:val="000000"/>
          <w:sz w:val="24"/>
          <w:szCs w:val="24"/>
          <w:lang w:eastAsia="uk-UA"/>
        </w:rPr>
        <w:t>Характеристика Луцької МТГ</w:t>
      </w:r>
      <w:bookmarkEnd w:id="24"/>
    </w:p>
    <w:p>
      <w:pPr>
        <w:pStyle w:val="LO-normal"/>
        <w:spacing w:lineRule="auto" w:line="276"/>
        <w:ind w:firstLine="567"/>
        <w:jc w:val="both"/>
        <w:rPr/>
      </w:pPr>
      <w:r>
        <w:rPr>
          <w:color w:val="000000"/>
        </w:rPr>
        <w:t>Луцьк – обласний адміністративний центр Волинської області, важливий промислово-економічний вузол західного регіону України.</w:t>
      </w:r>
    </w:p>
    <w:p>
      <w:pPr>
        <w:pStyle w:val="LO-normal"/>
        <w:spacing w:lineRule="auto" w:line="276"/>
        <w:ind w:firstLine="567"/>
        <w:jc w:val="both"/>
        <w:rPr/>
      </w:pPr>
      <w:r>
        <w:rPr>
          <w:color w:val="000000"/>
        </w:rPr>
        <w:t>Луцька МТГ має в складі 36 населених пунктів, включаючи місто Луцьк.</w:t>
      </w:r>
    </w:p>
    <w:p>
      <w:pPr>
        <w:pStyle w:val="LO-normal"/>
        <w:spacing w:lineRule="auto" w:line="276"/>
        <w:ind w:firstLine="567"/>
        <w:jc w:val="both"/>
        <w:rPr/>
      </w:pPr>
      <w:r>
        <w:rPr>
          <w:shd w:fill="FFFFFF" w:val="clear"/>
        </w:rPr>
        <w:t>Луцька МТГ розташована на північному заході України у  Волинській області.</w:t>
      </w:r>
      <w:r>
        <w:rPr>
          <w:strike/>
          <w:shd w:fill="FFFFFF" w:val="clear"/>
        </w:rPr>
        <w:t xml:space="preserve"> </w:t>
      </w:r>
      <w:r>
        <w:rPr>
          <w:shd w:fill="FFFFFF" w:val="clear"/>
        </w:rPr>
        <w:t>Територія г</w:t>
      </w:r>
      <w:r>
        <w:rPr>
          <w:color w:val="000000"/>
          <w:shd w:fill="FFFFFF" w:val="clear"/>
        </w:rPr>
        <w:t xml:space="preserve">ромади належить до лісостепової зони. Площа Луцької МТГ становить 38 257,43 га, м. Луцька – 3 960,83 га. Висота над рівнем моря: 181 м. </w:t>
      </w:r>
      <w:r>
        <w:rPr>
          <w:color w:val="000000"/>
        </w:rPr>
        <w:t>Відстань до державного кордону з Республікою Польща (МПП «Устилуг») – 85 км.</w:t>
      </w:r>
    </w:p>
    <w:p>
      <w:pPr>
        <w:pStyle w:val="Normal"/>
        <w:spacing w:before="0" w:after="0"/>
        <w:ind w:firstLine="567"/>
        <w:jc w:val="both"/>
        <w:rPr/>
      </w:pPr>
      <w:r>
        <w:rPr>
          <w:rFonts w:cs="Times New Roman" w:ascii="Times New Roman" w:hAnsi="Times New Roman"/>
          <w:sz w:val="24"/>
          <w:szCs w:val="24"/>
        </w:rPr>
        <w:t>Клімат громади – помірно континентальний з м'якою зимою і теплим літом. Середньорічна температура повітря у 2024 році становила 10,4 °С.</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Протягом останніх десятиліть, як в Україні, так і на Волині чітко спостерігаються прояви зміни клімату. </w:t>
      </w:r>
    </w:p>
    <w:p>
      <w:pPr>
        <w:pStyle w:val="BodyText"/>
        <w:spacing w:before="0" w:after="0"/>
        <w:ind w:firstLine="567"/>
        <w:jc w:val="both"/>
        <w:rPr/>
      </w:pPr>
      <w:r>
        <w:rPr>
          <w:rFonts w:cs="Times New Roman" w:ascii="Times New Roman" w:hAnsi="Times New Roman"/>
          <w:color w:val="000000"/>
          <w:sz w:val="24"/>
          <w:szCs w:val="24"/>
        </w:rPr>
        <w:t xml:space="preserve">За офіційними даними Держстату України станом на 01.01.2022 чисельність наявного населення становила – 243,6  тис. осіб, м. Луцька – 216 тис. осіб. </w:t>
      </w:r>
    </w:p>
    <w:p>
      <w:pPr>
        <w:pStyle w:val="Normal"/>
        <w:widowControl w:val="false"/>
        <w:spacing w:before="0" w:after="0"/>
        <w:ind w:firstLine="567"/>
        <w:jc w:val="center"/>
        <w:rPr>
          <w:rFonts w:ascii="Times New Roman" w:hAnsi="Times New Roman"/>
          <w:sz w:val="24"/>
          <w:szCs w:val="24"/>
        </w:rPr>
      </w:pPr>
      <w:r>
        <w:rPr>
          <w:rFonts w:ascii="Times New Roman" w:hAnsi="Times New Roman"/>
          <w:sz w:val="24"/>
          <w:szCs w:val="24"/>
        </w:rPr>
      </w:r>
    </w:p>
    <w:p>
      <w:pPr>
        <w:pStyle w:val="111"/>
        <w:numPr>
          <w:ilvl w:val="0"/>
          <w:numId w:val="3"/>
        </w:numPr>
        <w:spacing w:before="0" w:after="0"/>
        <w:ind w:firstLine="567" w:start="0"/>
        <w:rPr>
          <w:sz w:val="24"/>
          <w:szCs w:val="24"/>
        </w:rPr>
      </w:pPr>
      <w:bookmarkStart w:id="25" w:name="__RefHeading___Toc27540_429042107"/>
      <w:bookmarkStart w:id="26" w:name="_Toc188020966"/>
      <w:bookmarkEnd w:id="25"/>
      <w:r>
        <w:rPr>
          <w:rFonts w:cs="Times New Roman" w:ascii="Times New Roman" w:hAnsi="Times New Roman"/>
          <w:b/>
          <w:bCs/>
          <w:color w:val="000000"/>
          <w:sz w:val="24"/>
          <w:szCs w:val="24"/>
          <w:lang w:eastAsia="uk-UA"/>
        </w:rPr>
        <w:t>Сектори енергетичного планування</w:t>
      </w:r>
      <w:bookmarkEnd w:id="26"/>
    </w:p>
    <w:p>
      <w:pPr>
        <w:pStyle w:val="Normal"/>
        <w:spacing w:before="0" w:after="0"/>
        <w:ind w:firstLine="567"/>
        <w:jc w:val="both"/>
        <w:rPr/>
      </w:pPr>
      <w:r>
        <w:rPr>
          <w:rFonts w:eastAsia="Times New Roman" w:cs="Times New Roman" w:ascii="Times New Roman" w:hAnsi="Times New Roman"/>
          <w:color w:val="000000"/>
          <w:sz w:val="24"/>
          <w:szCs w:val="24"/>
          <w:shd w:fill="FFFFFF" w:val="clear"/>
          <w:lang w:eastAsia="uk-UA"/>
        </w:rPr>
        <w:t>За результатами оцінки структури енергоспоживання для потреб енергетичного планування виділено наступні сектори кінцевих споживачів:</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громадські будівлі (муніципального підпорядкування);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сфера водопостачання і водовідведення;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зовнішнє освітлення;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житлові будівлі;</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сфера теплопостачання;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управління побутовими відходами;</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третинний сектор;</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громадський транспорт та відповідна інфраструктура;</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муніципальний транспорт (крім транспорту для громадських перевезень);</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приватний та комерційний транспорт.</w:t>
      </w:r>
    </w:p>
    <w:p>
      <w:pPr>
        <w:pStyle w:val="Normal"/>
        <w:spacing w:before="0" w:after="0"/>
        <w:ind w:start="567"/>
        <w:jc w:val="both"/>
        <w:rPr>
          <w:rFonts w:ascii="Times New Roman" w:hAnsi="Times New Roman" w:eastAsia="Times New Roman" w:cs="Times New Roman"/>
          <w:color w:val="000000"/>
          <w:sz w:val="24"/>
          <w:szCs w:val="24"/>
          <w:shd w:fill="FFFFFF" w:val="clear"/>
          <w:lang w:eastAsia="uk-UA"/>
        </w:rPr>
      </w:pPr>
      <w:r>
        <w:rPr>
          <w:rFonts w:eastAsia="Times New Roman" w:cs="Times New Roman" w:ascii="Times New Roman" w:hAnsi="Times New Roman"/>
          <w:color w:val="000000"/>
          <w:sz w:val="24"/>
          <w:szCs w:val="24"/>
          <w:shd w:fill="FFFFFF" w:val="clear"/>
          <w:lang w:eastAsia="uk-UA"/>
        </w:rPr>
      </w:r>
    </w:p>
    <w:p>
      <w:pPr>
        <w:pStyle w:val="111"/>
        <w:numPr>
          <w:ilvl w:val="0"/>
          <w:numId w:val="3"/>
        </w:numPr>
        <w:spacing w:before="0" w:after="0"/>
        <w:ind w:firstLine="624" w:start="0"/>
        <w:rPr>
          <w:sz w:val="24"/>
          <w:szCs w:val="24"/>
        </w:rPr>
      </w:pPr>
      <w:bookmarkStart w:id="27" w:name="__RefHeading___Toc27542_429042107"/>
      <w:bookmarkStart w:id="28" w:name="_Toc188020967"/>
      <w:bookmarkEnd w:id="27"/>
      <w:r>
        <w:rPr>
          <w:rFonts w:cs="Times New Roman" w:ascii="Times New Roman" w:hAnsi="Times New Roman"/>
          <w:b/>
          <w:bCs/>
          <w:color w:val="000000"/>
          <w:sz w:val="24"/>
          <w:szCs w:val="24"/>
          <w:lang w:eastAsia="uk-UA"/>
        </w:rPr>
        <w:t>Основні характеристики секторів енергетичного планування</w:t>
      </w:r>
      <w:bookmarkEnd w:id="28"/>
    </w:p>
    <w:p>
      <w:pPr>
        <w:pStyle w:val="Normal"/>
        <w:spacing w:lineRule="auto" w:line="240" w:before="0" w:after="0"/>
        <w:ind w:firstLine="624"/>
        <w:jc w:val="both"/>
        <w:rPr/>
      </w:pPr>
      <w:r>
        <w:rPr>
          <w:rFonts w:eastAsia="NSimSun" w:cs="Times New Roman" w:ascii="Times New Roman" w:hAnsi="Times New Roman"/>
          <w:b/>
          <w:bCs/>
          <w:color w:val="000000"/>
          <w:kern w:val="2"/>
          <w:sz w:val="24"/>
          <w:szCs w:val="24"/>
          <w:lang w:eastAsia="zh-CN" w:bidi="hi-IN"/>
        </w:rPr>
        <w:t>2.3.1. Громадські будівлі муніципального підпорядкування</w:t>
      </w:r>
    </w:p>
    <w:p>
      <w:pPr>
        <w:pStyle w:val="Normal"/>
        <w:spacing w:before="0" w:after="0"/>
        <w:ind w:firstLine="510"/>
        <w:jc w:val="center"/>
        <w:rPr/>
      </w:pPr>
      <w:r>
        <w:rPr>
          <w:rFonts w:eastAsia="NSimSun" w:cs="Times New Roman" w:ascii="Times New Roman" w:hAnsi="Times New Roman"/>
          <w:color w:val="000000"/>
          <w:kern w:val="2"/>
          <w:sz w:val="24"/>
          <w:szCs w:val="24"/>
          <w:lang w:eastAsia="zh-CN" w:bidi="hi-IN"/>
        </w:rPr>
        <w:t xml:space="preserve">Таблиця 2.1. Споживання енергоресурсів громадськими будівлями муніципального підпорядкування </w:t>
      </w:r>
    </w:p>
    <w:tbl>
      <w:tblPr>
        <w:tblW w:w="9840" w:type="dxa"/>
        <w:jc w:val="start"/>
        <w:tblInd w:w="28" w:type="dxa"/>
        <w:tblLayout w:type="fixed"/>
        <w:tblCellMar>
          <w:top w:w="0" w:type="dxa"/>
          <w:start w:w="28" w:type="dxa"/>
          <w:bottom w:w="0" w:type="dxa"/>
          <w:end w:w="28" w:type="dxa"/>
        </w:tblCellMar>
        <w:tblLook w:firstRow="1" w:noVBand="1" w:lastRow="0" w:firstColumn="1" w:lastColumn="0" w:noHBand="0" w:val="04a0"/>
      </w:tblPr>
      <w:tblGrid>
        <w:gridCol w:w="1560"/>
        <w:gridCol w:w="1023"/>
        <w:gridCol w:w="1045"/>
        <w:gridCol w:w="1039"/>
        <w:gridCol w:w="1035"/>
        <w:gridCol w:w="1035"/>
        <w:gridCol w:w="1033"/>
        <w:gridCol w:w="1035"/>
        <w:gridCol w:w="1034"/>
      </w:tblGrid>
      <w:tr>
        <w:trPr/>
        <w:tc>
          <w:tcPr>
            <w:tcW w:w="1560" w:type="dxa"/>
            <w:tcBorders>
              <w:top w:val="single" w:sz="2" w:space="0" w:color="000000"/>
              <w:start w:val="single" w:sz="2" w:space="0" w:color="000000"/>
              <w:bottom w:val="single" w:sz="2" w:space="0" w:color="000000"/>
            </w:tcBorders>
          </w:tcPr>
          <w:p>
            <w:pPr>
              <w:pStyle w:val="Normal"/>
              <w:spacing w:lineRule="auto" w:line="240" w:before="0" w:after="0"/>
              <w:jc w:val="center"/>
              <w:rPr/>
            </w:pPr>
            <w:r>
              <w:rPr>
                <w:rFonts w:ascii="Times New Roman" w:hAnsi="Times New Roman"/>
                <w:sz w:val="20"/>
                <w:szCs w:val="20"/>
              </w:rPr>
              <w:t>Енергоресурси</w:t>
            </w:r>
          </w:p>
        </w:tc>
        <w:tc>
          <w:tcPr>
            <w:tcW w:w="1023"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2017</w:t>
            </w:r>
          </w:p>
        </w:tc>
        <w:tc>
          <w:tcPr>
            <w:tcW w:w="1045"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2018</w:t>
            </w:r>
          </w:p>
        </w:tc>
        <w:tc>
          <w:tcPr>
            <w:tcW w:w="1039"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2019</w:t>
            </w:r>
          </w:p>
        </w:tc>
        <w:tc>
          <w:tcPr>
            <w:tcW w:w="1035"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2020</w:t>
            </w:r>
          </w:p>
        </w:tc>
        <w:tc>
          <w:tcPr>
            <w:tcW w:w="1035"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2021</w:t>
            </w:r>
          </w:p>
        </w:tc>
        <w:tc>
          <w:tcPr>
            <w:tcW w:w="1033"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2022</w:t>
            </w:r>
          </w:p>
        </w:tc>
        <w:tc>
          <w:tcPr>
            <w:tcW w:w="1035"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2023</w:t>
            </w:r>
          </w:p>
        </w:tc>
        <w:tc>
          <w:tcPr>
            <w:tcW w:w="1034"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40" w:before="0" w:after="0"/>
              <w:jc w:val="center"/>
              <w:rPr/>
            </w:pPr>
            <w:r>
              <w:rPr>
                <w:rFonts w:ascii="Times New Roman" w:hAnsi="Times New Roman"/>
                <w:sz w:val="20"/>
                <w:szCs w:val="20"/>
              </w:rPr>
              <w:t>2024</w:t>
            </w:r>
          </w:p>
        </w:tc>
      </w:tr>
      <w:tr>
        <w:trPr/>
        <w:tc>
          <w:tcPr>
            <w:tcW w:w="1560" w:type="dxa"/>
            <w:tcBorders>
              <w:start w:val="single" w:sz="2" w:space="0" w:color="000000"/>
              <w:bottom w:val="single" w:sz="2" w:space="0" w:color="000000"/>
            </w:tcBorders>
          </w:tcPr>
          <w:p>
            <w:pPr>
              <w:pStyle w:val="Normal"/>
              <w:spacing w:before="0" w:after="0"/>
              <w:rPr/>
            </w:pPr>
            <w:r>
              <w:rPr>
                <w:rFonts w:ascii="Times New Roman" w:hAnsi="Times New Roman"/>
                <w:sz w:val="20"/>
                <w:szCs w:val="20"/>
              </w:rPr>
              <w:t>Тепло (Гкал)</w:t>
            </w:r>
          </w:p>
        </w:tc>
        <w:tc>
          <w:tcPr>
            <w:tcW w:w="102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54900,00</w:t>
            </w:r>
          </w:p>
        </w:tc>
        <w:tc>
          <w:tcPr>
            <w:tcW w:w="104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53500,00</w:t>
            </w:r>
          </w:p>
        </w:tc>
        <w:tc>
          <w:tcPr>
            <w:tcW w:w="1039"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46900,00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49200,00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42600,00</w:t>
            </w:r>
          </w:p>
        </w:tc>
        <w:tc>
          <w:tcPr>
            <w:tcW w:w="103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41700,00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40500,00</w:t>
            </w:r>
          </w:p>
        </w:tc>
        <w:tc>
          <w:tcPr>
            <w:tcW w:w="1034" w:type="dxa"/>
            <w:tcBorders>
              <w:start w:val="single" w:sz="2" w:space="0" w:color="000000"/>
              <w:bottom w:val="single" w:sz="2" w:space="0" w:color="000000"/>
              <w:end w:val="single" w:sz="2" w:space="0" w:color="000000"/>
            </w:tcBorders>
            <w:vAlign w:val="center"/>
          </w:tcPr>
          <w:p>
            <w:pPr>
              <w:pStyle w:val="Normal"/>
              <w:spacing w:before="0" w:after="0"/>
              <w:jc w:val="center"/>
              <w:rPr/>
            </w:pPr>
            <w:r>
              <w:rPr>
                <w:rFonts w:ascii="Times New Roman" w:hAnsi="Times New Roman"/>
                <w:sz w:val="20"/>
                <w:szCs w:val="20"/>
              </w:rPr>
              <w:t>41872,48</w:t>
            </w:r>
          </w:p>
        </w:tc>
      </w:tr>
      <w:tr>
        <w:trPr/>
        <w:tc>
          <w:tcPr>
            <w:tcW w:w="1560" w:type="dxa"/>
            <w:tcBorders>
              <w:start w:val="single" w:sz="2" w:space="0" w:color="000000"/>
              <w:bottom w:val="single" w:sz="2" w:space="0" w:color="000000"/>
            </w:tcBorders>
          </w:tcPr>
          <w:p>
            <w:pPr>
              <w:pStyle w:val="Normal"/>
              <w:spacing w:before="0" w:after="0"/>
              <w:rPr/>
            </w:pPr>
            <w:r>
              <w:rPr>
                <w:rFonts w:ascii="Times New Roman" w:hAnsi="Times New Roman"/>
                <w:sz w:val="20"/>
                <w:szCs w:val="20"/>
              </w:rPr>
              <w:t>Природний газ (тис.м</w:t>
            </w:r>
            <w:r>
              <w:rPr>
                <w:rFonts w:ascii="Times New Roman" w:hAnsi="Times New Roman"/>
                <w:sz w:val="20"/>
                <w:szCs w:val="20"/>
                <w:vertAlign w:val="superscript"/>
              </w:rPr>
              <w:t>3</w:t>
            </w:r>
            <w:r>
              <w:rPr>
                <w:rFonts w:ascii="Times New Roman" w:hAnsi="Times New Roman"/>
                <w:sz w:val="20"/>
                <w:szCs w:val="20"/>
              </w:rPr>
              <w:t>)</w:t>
            </w:r>
          </w:p>
        </w:tc>
        <w:tc>
          <w:tcPr>
            <w:tcW w:w="102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3903,29</w:t>
            </w:r>
          </w:p>
        </w:tc>
        <w:tc>
          <w:tcPr>
            <w:tcW w:w="104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3502,92</w:t>
            </w:r>
          </w:p>
        </w:tc>
        <w:tc>
          <w:tcPr>
            <w:tcW w:w="1039"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3101,70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2880,58</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3102,09</w:t>
            </w:r>
          </w:p>
        </w:tc>
        <w:tc>
          <w:tcPr>
            <w:tcW w:w="103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2549,37</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2933,43</w:t>
            </w:r>
          </w:p>
        </w:tc>
        <w:tc>
          <w:tcPr>
            <w:tcW w:w="1034" w:type="dxa"/>
            <w:tcBorders>
              <w:start w:val="single" w:sz="2" w:space="0" w:color="000000"/>
              <w:bottom w:val="single" w:sz="2" w:space="0" w:color="000000"/>
              <w:end w:val="single" w:sz="2" w:space="0" w:color="000000"/>
            </w:tcBorders>
            <w:vAlign w:val="center"/>
          </w:tcPr>
          <w:p>
            <w:pPr>
              <w:pStyle w:val="Normal"/>
              <w:spacing w:before="0" w:after="0"/>
              <w:jc w:val="center"/>
              <w:rPr/>
            </w:pPr>
            <w:r>
              <w:rPr>
                <w:rFonts w:ascii="Times New Roman" w:hAnsi="Times New Roman"/>
                <w:sz w:val="20"/>
                <w:szCs w:val="20"/>
              </w:rPr>
              <w:t>2937,57</w:t>
            </w:r>
          </w:p>
        </w:tc>
      </w:tr>
      <w:tr>
        <w:trPr/>
        <w:tc>
          <w:tcPr>
            <w:tcW w:w="1560" w:type="dxa"/>
            <w:tcBorders>
              <w:start w:val="single" w:sz="2" w:space="0" w:color="000000"/>
              <w:bottom w:val="single" w:sz="2" w:space="0" w:color="000000"/>
            </w:tcBorders>
          </w:tcPr>
          <w:p>
            <w:pPr>
              <w:pStyle w:val="Normal"/>
              <w:spacing w:before="0" w:after="0"/>
              <w:rPr/>
            </w:pPr>
            <w:r>
              <w:rPr>
                <w:rFonts w:ascii="Times New Roman" w:hAnsi="Times New Roman"/>
                <w:sz w:val="20"/>
                <w:szCs w:val="20"/>
              </w:rPr>
              <w:t>Електроенергія (МВт.год)</w:t>
            </w:r>
          </w:p>
        </w:tc>
        <w:tc>
          <w:tcPr>
            <w:tcW w:w="102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25607,00</w:t>
            </w:r>
          </w:p>
        </w:tc>
        <w:tc>
          <w:tcPr>
            <w:tcW w:w="104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29821,00</w:t>
            </w:r>
          </w:p>
        </w:tc>
        <w:tc>
          <w:tcPr>
            <w:tcW w:w="1039"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28380,00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25006,00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30955,00</w:t>
            </w:r>
          </w:p>
        </w:tc>
        <w:tc>
          <w:tcPr>
            <w:tcW w:w="103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29762,00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26588,00</w:t>
            </w:r>
          </w:p>
        </w:tc>
        <w:tc>
          <w:tcPr>
            <w:tcW w:w="1034" w:type="dxa"/>
            <w:tcBorders>
              <w:start w:val="single" w:sz="2" w:space="0" w:color="000000"/>
              <w:bottom w:val="single" w:sz="2" w:space="0" w:color="000000"/>
              <w:end w:val="single" w:sz="2" w:space="0" w:color="000000"/>
            </w:tcBorders>
            <w:vAlign w:val="center"/>
          </w:tcPr>
          <w:p>
            <w:pPr>
              <w:pStyle w:val="Normal"/>
              <w:spacing w:before="0" w:after="0"/>
              <w:jc w:val="center"/>
              <w:rPr/>
            </w:pPr>
            <w:r>
              <w:rPr>
                <w:rFonts w:ascii="Times New Roman" w:hAnsi="Times New Roman"/>
                <w:sz w:val="20"/>
                <w:szCs w:val="20"/>
              </w:rPr>
              <w:t>22121,70</w:t>
            </w:r>
          </w:p>
        </w:tc>
      </w:tr>
      <w:tr>
        <w:trPr/>
        <w:tc>
          <w:tcPr>
            <w:tcW w:w="1560" w:type="dxa"/>
            <w:tcBorders>
              <w:start w:val="single" w:sz="2" w:space="0" w:color="000000"/>
              <w:bottom w:val="single" w:sz="2" w:space="0" w:color="000000"/>
            </w:tcBorders>
          </w:tcPr>
          <w:p>
            <w:pPr>
              <w:pStyle w:val="Normal"/>
              <w:spacing w:before="0" w:after="0"/>
              <w:rPr/>
            </w:pPr>
            <w:r>
              <w:rPr>
                <w:rFonts w:ascii="Times New Roman" w:hAnsi="Times New Roman"/>
                <w:sz w:val="20"/>
                <w:szCs w:val="20"/>
              </w:rPr>
              <w:t>Деревина (т)</w:t>
            </w:r>
          </w:p>
        </w:tc>
        <w:tc>
          <w:tcPr>
            <w:tcW w:w="102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0,00</w:t>
            </w:r>
          </w:p>
        </w:tc>
        <w:tc>
          <w:tcPr>
            <w:tcW w:w="104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0,00</w:t>
            </w:r>
          </w:p>
        </w:tc>
        <w:tc>
          <w:tcPr>
            <w:tcW w:w="1039"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0,00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0,00</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143,00</w:t>
            </w:r>
          </w:p>
        </w:tc>
        <w:tc>
          <w:tcPr>
            <w:tcW w:w="1033"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191,85</w:t>
            </w:r>
          </w:p>
        </w:tc>
        <w:tc>
          <w:tcPr>
            <w:tcW w:w="1035" w:type="dxa"/>
            <w:tcBorders>
              <w:start w:val="single" w:sz="2" w:space="0" w:color="000000"/>
              <w:bottom w:val="single" w:sz="2" w:space="0" w:color="000000"/>
            </w:tcBorders>
            <w:vAlign w:val="center"/>
          </w:tcPr>
          <w:p>
            <w:pPr>
              <w:pStyle w:val="Normal"/>
              <w:spacing w:before="0" w:after="0"/>
              <w:jc w:val="center"/>
              <w:rPr/>
            </w:pPr>
            <w:r>
              <w:rPr>
                <w:rFonts w:ascii="Times New Roman" w:hAnsi="Times New Roman"/>
                <w:sz w:val="20"/>
                <w:szCs w:val="20"/>
              </w:rPr>
              <w:t>361,39</w:t>
            </w:r>
          </w:p>
        </w:tc>
        <w:tc>
          <w:tcPr>
            <w:tcW w:w="1034" w:type="dxa"/>
            <w:tcBorders>
              <w:start w:val="single" w:sz="2" w:space="0" w:color="000000"/>
              <w:bottom w:val="single" w:sz="2" w:space="0" w:color="000000"/>
              <w:end w:val="single" w:sz="2" w:space="0" w:color="000000"/>
            </w:tcBorders>
            <w:vAlign w:val="center"/>
          </w:tcPr>
          <w:p>
            <w:pPr>
              <w:pStyle w:val="Normal"/>
              <w:spacing w:before="0" w:after="0"/>
              <w:jc w:val="center"/>
              <w:rPr/>
            </w:pPr>
            <w:r>
              <w:rPr>
                <w:rFonts w:ascii="Times New Roman" w:hAnsi="Times New Roman"/>
                <w:sz w:val="20"/>
                <w:szCs w:val="20"/>
              </w:rPr>
              <w:t>373,64</w:t>
            </w:r>
          </w:p>
        </w:tc>
      </w:tr>
    </w:tbl>
    <w:p>
      <w:pPr>
        <w:pStyle w:val="Normal"/>
        <w:spacing w:before="0" w:after="0"/>
        <w:ind w:firstLine="510"/>
        <w:jc w:val="both"/>
        <w:rPr>
          <w:rFonts w:ascii="Times New Roman" w:hAnsi="Times New Roman"/>
          <w:sz w:val="24"/>
          <w:szCs w:val="24"/>
        </w:rPr>
      </w:pPr>
      <w:r>
        <w:rPr>
          <w:rFonts w:ascii="Times New Roman" w:hAnsi="Times New Roman"/>
          <w:sz w:val="24"/>
          <w:szCs w:val="24"/>
        </w:rPr>
      </w:r>
    </w:p>
    <w:p>
      <w:pPr>
        <w:pStyle w:val="Normal"/>
        <w:spacing w:before="0" w:after="0"/>
        <w:ind w:firstLine="510"/>
        <w:jc w:val="both"/>
        <w:rPr>
          <w:rFonts w:ascii="Times New Roman" w:hAnsi="Times New Roman"/>
          <w:sz w:val="24"/>
          <w:szCs w:val="24"/>
        </w:rPr>
      </w:pPr>
      <w:r>
        <w:rPr>
          <w:rFonts w:ascii="Times New Roman" w:hAnsi="Times New Roman"/>
          <w:sz w:val="24"/>
          <w:szCs w:val="24"/>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center"/>
        <w:rPr>
          <w:rFonts w:eastAsia="NSimSun" w:cs="Times New Roman"/>
          <w:color w:val="000000"/>
          <w:kern w:val="2"/>
          <w:lang w:eastAsia="zh-CN" w:bidi="hi-IN"/>
        </w:rPr>
      </w:pPr>
      <w:r>
        <w:rPr>
          <w:rFonts w:eastAsia="NSimSun" w:cs="Times New Roman"/>
          <w:color w:val="000000"/>
          <w:kern w:val="2"/>
          <w:lang w:eastAsia="zh-CN" w:bidi="hi-IN"/>
        </w:rPr>
        <w:drawing>
          <wp:anchor behindDoc="0" distT="0" distB="0" distL="0" distR="0" simplePos="0" locked="0" layoutInCell="0" allowOverlap="1" relativeHeight="56">
            <wp:simplePos x="0" y="0"/>
            <wp:positionH relativeFrom="column">
              <wp:posOffset>1195070</wp:posOffset>
            </wp:positionH>
            <wp:positionV relativeFrom="paragraph">
              <wp:posOffset>44450</wp:posOffset>
            </wp:positionV>
            <wp:extent cx="3655695" cy="2055495"/>
            <wp:effectExtent l="0" t="0" r="0" b="0"/>
            <wp:wrapSquare wrapText="largest"/>
            <wp:docPr id="3" name="Об'єкт14"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Normal"/>
        <w:spacing w:before="0" w:after="0"/>
        <w:ind w:firstLine="510"/>
        <w:jc w:val="center"/>
        <w:rPr>
          <w:rFonts w:eastAsia="NSimSun" w:cs="Times New Roman"/>
          <w:color w:val="000000"/>
          <w:kern w:val="2"/>
          <w:lang w:eastAsia="zh-CN" w:bidi="hi-IN"/>
        </w:rPr>
      </w:pPr>
      <w:r>
        <w:rPr>
          <w:rFonts w:eastAsia="NSimSun" w:cs="Times New Roman"/>
          <w:color w:val="000000"/>
          <w:kern w:val="2"/>
          <w:lang w:eastAsia="zh-CN" w:bidi="hi-IN"/>
        </w:rPr>
      </w:r>
    </w:p>
    <w:p>
      <w:pPr>
        <w:pStyle w:val="Normal"/>
        <w:spacing w:before="0" w:after="0"/>
        <w:ind w:firstLine="510"/>
        <w:jc w:val="center"/>
        <w:rPr>
          <w:rFonts w:eastAsia="NSimSun" w:cs="Times New Roman"/>
          <w:color w:val="000000"/>
          <w:kern w:val="2"/>
          <w:lang w:eastAsia="zh-CN" w:bidi="hi-IN"/>
        </w:rPr>
      </w:pPr>
      <w:r>
        <w:rPr>
          <w:rFonts w:eastAsia="NSimSun" w:cs="Times New Roman"/>
          <w:color w:val="000000"/>
          <w:kern w:val="2"/>
          <w:lang w:eastAsia="zh-CN" w:bidi="hi-IN"/>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pPr>
      <w:r>
        <w:rPr/>
      </w:r>
    </w:p>
    <w:p>
      <w:pPr>
        <w:pStyle w:val="Normal"/>
        <w:spacing w:before="0" w:after="0"/>
        <w:ind w:firstLine="510"/>
        <w:jc w:val="center"/>
        <w:rPr/>
      </w:pPr>
      <w:r>
        <w:rPr/>
      </w:r>
    </w:p>
    <w:p>
      <w:pPr>
        <w:pStyle w:val="Normal"/>
        <w:spacing w:before="0" w:after="0"/>
        <w:ind w:firstLine="510"/>
        <w:jc w:val="center"/>
        <w:rPr/>
      </w:pPr>
      <w:r>
        <w:rPr>
          <w:rFonts w:eastAsia="NSimSun" w:cs="Times New Roman" w:ascii="Times New Roman" w:hAnsi="Times New Roman"/>
          <w:color w:val="000000"/>
          <w:kern w:val="2"/>
          <w:sz w:val="24"/>
          <w:szCs w:val="24"/>
          <w:lang w:eastAsia="zh-CN" w:bidi="hi-IN"/>
        </w:rPr>
        <w:t xml:space="preserve">Рисунок 2.1. Обсяги споживання енергоресурсів в муніципальних будівлях, </w:t>
      </w:r>
      <w:r>
        <w:rPr>
          <w:rFonts w:eastAsia="Microsoft Sans Serif" w:cs="Times New Roman" w:ascii="Times New Roman" w:hAnsi="Times New Roman"/>
          <w:color w:val="000000"/>
          <w:kern w:val="2"/>
          <w:sz w:val="24"/>
          <w:szCs w:val="24"/>
          <w:shd w:fill="FFFFFF" w:val="clear"/>
          <w:lang w:eastAsia="zh-CN" w:bidi="hi-IN"/>
        </w:rPr>
        <w:t>МВт∙год</w:t>
      </w:r>
      <w:r>
        <w:rPr>
          <w:rFonts w:eastAsia="NSimSun" w:cs="Times New Roman" w:ascii="Times New Roman" w:hAnsi="Times New Roman"/>
          <w:color w:val="000000"/>
          <w:kern w:val="2"/>
          <w:sz w:val="24"/>
          <w:szCs w:val="24"/>
          <w:lang w:eastAsia="zh-CN" w:bidi="hi-IN"/>
        </w:rPr>
        <w:t xml:space="preserve"> </w:t>
      </w:r>
    </w:p>
    <w:p>
      <w:pPr>
        <w:pStyle w:val="Normal"/>
        <w:spacing w:before="0" w:after="0"/>
        <w:ind w:firstLine="510"/>
        <w:jc w:val="both"/>
        <w:rPr>
          <w:strike/>
          <w:sz w:val="16"/>
          <w:szCs w:val="16"/>
        </w:rPr>
      </w:pPr>
      <w:r>
        <w:rPr>
          <w:strike/>
          <w:sz w:val="16"/>
          <w:szCs w:val="16"/>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2.3.2. Сфера водопостачання та водовідведення</w:t>
      </w:r>
    </w:p>
    <w:p>
      <w:pPr>
        <w:pStyle w:val="Normal"/>
        <w:tabs>
          <w:tab w:val="clear" w:pos="708"/>
          <w:tab w:val="left" w:pos="0" w:leader="none"/>
        </w:tabs>
        <w:spacing w:lineRule="auto" w:line="240" w:before="0" w:after="0"/>
        <w:ind w:firstLine="567"/>
        <w:jc w:val="both"/>
        <w:rPr/>
      </w:pPr>
      <w:r>
        <w:rPr>
          <w:rFonts w:eastAsia="Times New Roman" w:cs="Times New Roman" w:ascii="Times New Roman" w:hAnsi="Times New Roman"/>
          <w:color w:val="000000"/>
          <w:kern w:val="2"/>
          <w:sz w:val="24"/>
          <w:szCs w:val="24"/>
          <w:lang w:eastAsia="de-DE" w:bidi="hi-IN"/>
        </w:rPr>
        <w:t>Єдиним постачальником послуг з водопостачання та водовідведення у Луцькій МТГ є комунальне підприємство «Луцькводоканал».</w:t>
      </w:r>
    </w:p>
    <w:p>
      <w:pPr>
        <w:pStyle w:val="Normal"/>
        <w:spacing w:lineRule="auto" w:line="240" w:before="0" w:after="0"/>
        <w:ind w:firstLine="567" w:start="-15"/>
        <w:jc w:val="center"/>
        <w:rPr/>
      </w:pPr>
      <w:r>
        <w:rPr>
          <w:rFonts w:eastAsia="Times New Roman" w:cs="Times New Roman" w:ascii="Times New Roman" w:hAnsi="Times New Roman"/>
          <w:kern w:val="2"/>
          <w:sz w:val="24"/>
          <w:szCs w:val="24"/>
          <w:lang w:eastAsia="zh-CN" w:bidi="hi-IN"/>
        </w:rPr>
        <w:t>Таблиця 2.2. Відсоток мешканців громади, що мають доступ до послуги централізованого водопостачання</w:t>
      </w:r>
    </w:p>
    <w:tbl>
      <w:tblPr>
        <w:tblW w:w="9690" w:type="dxa"/>
        <w:jc w:val="start"/>
        <w:tblInd w:w="7" w:type="dxa"/>
        <w:tblLayout w:type="fixed"/>
        <w:tblCellMar>
          <w:top w:w="28" w:type="dxa"/>
          <w:start w:w="28" w:type="dxa"/>
          <w:bottom w:w="28" w:type="dxa"/>
          <w:end w:w="28" w:type="dxa"/>
        </w:tblCellMar>
        <w:tblLook w:firstRow="1" w:noVBand="1" w:lastRow="0" w:firstColumn="1" w:lastColumn="0" w:noHBand="0" w:val="04a0"/>
      </w:tblPr>
      <w:tblGrid>
        <w:gridCol w:w="2344"/>
        <w:gridCol w:w="3407"/>
        <w:gridCol w:w="3939"/>
      </w:tblGrid>
      <w:tr>
        <w:trPr/>
        <w:tc>
          <w:tcPr>
            <w:tcW w:w="2344" w:type="dxa"/>
            <w:tcBorders>
              <w:top w:val="single" w:sz="2" w:space="0" w:color="000000"/>
              <w:start w:val="single" w:sz="2" w:space="0" w:color="000000"/>
              <w:bottom w:val="single" w:sz="2" w:space="0" w:color="000000"/>
            </w:tcBorders>
          </w:tcPr>
          <w:p>
            <w:pPr>
              <w:pStyle w:val="Normal"/>
              <w:widowControl w:val="false"/>
              <w:suppressLineNumbers/>
              <w:spacing w:lineRule="auto" w:line="240" w:before="0" w:after="0"/>
              <w:jc w:val="center"/>
              <w:rPr/>
            </w:pPr>
            <w:r>
              <w:rPr>
                <w:rFonts w:eastAsia="Times New Roman" w:cs="Times New Roman" w:ascii="Times New Roman" w:hAnsi="Times New Roman"/>
                <w:kern w:val="2"/>
                <w:lang w:eastAsia="zh-CN" w:bidi="hi-IN"/>
              </w:rPr>
              <w:t>Станом на</w:t>
            </w:r>
          </w:p>
        </w:tc>
        <w:tc>
          <w:tcPr>
            <w:tcW w:w="3407" w:type="dxa"/>
            <w:tcBorders>
              <w:top w:val="single" w:sz="2" w:space="0" w:color="000000"/>
              <w:start w:val="single" w:sz="2" w:space="0" w:color="000000"/>
              <w:bottom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lang w:eastAsia="zh-CN" w:bidi="hi-IN"/>
              </w:rPr>
              <w:t>м. Луцьк</w:t>
            </w:r>
          </w:p>
        </w:tc>
        <w:tc>
          <w:tcPr>
            <w:tcW w:w="3939"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lang w:eastAsia="zh-CN" w:bidi="hi-IN"/>
              </w:rPr>
              <w:t>Інші населені пункти</w:t>
            </w:r>
          </w:p>
        </w:tc>
      </w:tr>
      <w:tr>
        <w:trPr/>
        <w:tc>
          <w:tcPr>
            <w:tcW w:w="2344" w:type="dxa"/>
            <w:tcBorders>
              <w:start w:val="single" w:sz="2" w:space="0" w:color="000000"/>
              <w:bottom w:val="single" w:sz="2" w:space="0" w:color="000000"/>
            </w:tcBorders>
          </w:tcPr>
          <w:p>
            <w:pPr>
              <w:pStyle w:val="Normal"/>
              <w:widowControl w:val="false"/>
              <w:spacing w:lineRule="auto" w:line="240" w:before="0" w:after="0"/>
              <w:jc w:val="center"/>
              <w:rPr/>
            </w:pPr>
            <w:r>
              <w:rPr>
                <w:rFonts w:eastAsia="Times New Roman" w:cs="Times New Roman" w:ascii="Times New Roman" w:hAnsi="Times New Roman"/>
                <w:kern w:val="2"/>
                <w:lang w:eastAsia="zh-CN" w:bidi="hi-IN"/>
              </w:rPr>
              <w:t>01.01.2023</w:t>
            </w:r>
          </w:p>
        </w:tc>
        <w:tc>
          <w:tcPr>
            <w:tcW w:w="3407" w:type="dxa"/>
            <w:tcBorders>
              <w:start w:val="single" w:sz="2" w:space="0" w:color="000000"/>
              <w:bottom w:val="single" w:sz="2" w:space="0" w:color="000000"/>
            </w:tcBorders>
          </w:tcPr>
          <w:p>
            <w:pPr>
              <w:pStyle w:val="Normal"/>
              <w:widowControl w:val="false"/>
              <w:suppressLineNumbers/>
              <w:spacing w:lineRule="auto" w:line="240" w:before="0" w:after="0"/>
              <w:jc w:val="center"/>
              <w:rPr/>
            </w:pPr>
            <w:r>
              <w:rPr>
                <w:rFonts w:eastAsia="Times New Roman" w:cs="Times New Roman" w:ascii="Times New Roman" w:hAnsi="Times New Roman"/>
                <w:kern w:val="2"/>
                <w:lang w:eastAsia="zh-CN" w:bidi="hi-IN"/>
              </w:rPr>
              <w:t>86,9 %</w:t>
            </w:r>
          </w:p>
        </w:tc>
        <w:tc>
          <w:tcPr>
            <w:tcW w:w="3939"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eastAsia="Times New Roman" w:cs="Times New Roman" w:ascii="Times New Roman" w:hAnsi="Times New Roman"/>
                <w:kern w:val="2"/>
                <w:lang w:eastAsia="zh-CN" w:bidi="hi-IN"/>
              </w:rPr>
              <w:t>47,0 %</w:t>
            </w:r>
          </w:p>
        </w:tc>
      </w:tr>
      <w:tr>
        <w:trPr/>
        <w:tc>
          <w:tcPr>
            <w:tcW w:w="2344" w:type="dxa"/>
            <w:tcBorders>
              <w:start w:val="single" w:sz="2" w:space="0" w:color="000000"/>
              <w:bottom w:val="single" w:sz="2" w:space="0" w:color="000000"/>
            </w:tcBorders>
          </w:tcPr>
          <w:p>
            <w:pPr>
              <w:pStyle w:val="Normal"/>
              <w:widowControl w:val="false"/>
              <w:spacing w:lineRule="auto" w:line="240" w:before="0" w:after="0"/>
              <w:jc w:val="center"/>
              <w:rPr/>
            </w:pPr>
            <w:r>
              <w:rPr>
                <w:rFonts w:ascii="Times New Roman" w:hAnsi="Times New Roman"/>
              </w:rPr>
              <w:t>01.01.2025</w:t>
            </w:r>
          </w:p>
        </w:tc>
        <w:tc>
          <w:tcPr>
            <w:tcW w:w="3407" w:type="dxa"/>
            <w:tcBorders>
              <w:start w:val="single" w:sz="2" w:space="0" w:color="000000"/>
              <w:bottom w:val="single" w:sz="2" w:space="0" w:color="000000"/>
            </w:tcBorders>
          </w:tcPr>
          <w:p>
            <w:pPr>
              <w:pStyle w:val="Normal"/>
              <w:widowControl w:val="false"/>
              <w:suppressLineNumbers/>
              <w:spacing w:lineRule="auto" w:line="240" w:before="0" w:after="0"/>
              <w:jc w:val="center"/>
              <w:rPr/>
            </w:pPr>
            <w:r>
              <w:rPr>
                <w:rFonts w:ascii="Times New Roman" w:hAnsi="Times New Roman"/>
              </w:rPr>
              <w:t>88,1 %</w:t>
            </w:r>
          </w:p>
        </w:tc>
        <w:tc>
          <w:tcPr>
            <w:tcW w:w="3939"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ascii="Times New Roman" w:hAnsi="Times New Roman"/>
              </w:rPr>
              <w:t>47,3 %</w:t>
            </w:r>
          </w:p>
        </w:tc>
      </w:tr>
    </w:tbl>
    <w:p>
      <w:pPr>
        <w:pStyle w:val="Normal"/>
        <w:tabs>
          <w:tab w:val="clear" w:pos="708"/>
          <w:tab w:val="left" w:pos="0" w:leader="none"/>
        </w:tabs>
        <w:spacing w:lineRule="auto" w:line="240" w:before="0" w:after="0"/>
        <w:ind w:firstLine="567"/>
        <w:jc w:val="center"/>
        <w:rPr>
          <w:rFonts w:ascii="Times New Roman" w:hAnsi="Times New Roman"/>
          <w:sz w:val="24"/>
          <w:szCs w:val="24"/>
        </w:rPr>
      </w:pPr>
      <w:r>
        <w:rPr>
          <w:rFonts w:ascii="Times New Roman" w:hAnsi="Times New Roman"/>
          <w:sz w:val="24"/>
          <w:szCs w:val="24"/>
        </w:rPr>
      </w:r>
    </w:p>
    <w:p>
      <w:pPr>
        <w:pStyle w:val="Normal"/>
        <w:tabs>
          <w:tab w:val="clear" w:pos="708"/>
          <w:tab w:val="left" w:pos="0" w:leader="none"/>
        </w:tabs>
        <w:spacing w:lineRule="auto" w:line="240" w:before="0" w:after="0"/>
        <w:ind w:firstLine="567"/>
        <w:jc w:val="center"/>
        <w:rPr/>
      </w:pPr>
      <w:r>
        <w:rPr>
          <w:rFonts w:eastAsia="NSimSun" w:cs="Times New Roman" w:ascii="Times New Roman" w:hAnsi="Times New Roman"/>
          <w:kern w:val="2"/>
          <w:sz w:val="24"/>
          <w:szCs w:val="24"/>
          <w:lang w:eastAsia="zh-CN" w:bidi="hi-IN"/>
        </w:rPr>
        <w:t xml:space="preserve">Таблиця 2.3 Інформація про обсяги водопостачання та водовідведення </w:t>
      </w:r>
    </w:p>
    <w:tbl>
      <w:tblPr>
        <w:tblW w:w="9796" w:type="dxa"/>
        <w:jc w:val="start"/>
        <w:tblInd w:w="76" w:type="dxa"/>
        <w:tblLayout w:type="fixed"/>
        <w:tblCellMar>
          <w:top w:w="50" w:type="dxa"/>
          <w:start w:w="112" w:type="dxa"/>
          <w:bottom w:w="0" w:type="dxa"/>
          <w:end w:w="112" w:type="dxa"/>
        </w:tblCellMar>
        <w:tblLook w:firstRow="1" w:noVBand="1" w:lastRow="0" w:firstColumn="1" w:lastColumn="0" w:noHBand="0" w:val="04a0"/>
      </w:tblPr>
      <w:tblGrid>
        <w:gridCol w:w="2977"/>
        <w:gridCol w:w="864"/>
        <w:gridCol w:w="855"/>
        <w:gridCol w:w="838"/>
        <w:gridCol w:w="855"/>
        <w:gridCol w:w="861"/>
        <w:gridCol w:w="865"/>
        <w:gridCol w:w="839"/>
        <w:gridCol w:w="841"/>
      </w:tblGrid>
      <w:tr>
        <w:trPr/>
        <w:tc>
          <w:tcPr>
            <w:tcW w:w="297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Тип послуги</w:t>
            </w:r>
          </w:p>
        </w:tc>
        <w:tc>
          <w:tcPr>
            <w:tcW w:w="8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2017</w:t>
            </w:r>
          </w:p>
        </w:tc>
        <w:tc>
          <w:tcPr>
            <w:tcW w:w="85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2018</w:t>
            </w:r>
          </w:p>
        </w:tc>
        <w:tc>
          <w:tcPr>
            <w:tcW w:w="83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2019</w:t>
            </w:r>
          </w:p>
        </w:tc>
        <w:tc>
          <w:tcPr>
            <w:tcW w:w="85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2020</w:t>
            </w:r>
          </w:p>
        </w:tc>
        <w:tc>
          <w:tcPr>
            <w:tcW w:w="86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2021</w:t>
            </w:r>
          </w:p>
        </w:tc>
        <w:tc>
          <w:tcPr>
            <w:tcW w:w="865"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2022</w:t>
            </w:r>
          </w:p>
        </w:tc>
        <w:tc>
          <w:tcPr>
            <w:tcW w:w="839"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2023</w:t>
            </w:r>
          </w:p>
        </w:tc>
        <w:tc>
          <w:tcPr>
            <w:tcW w:w="84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ascii="Times New Roman" w:hAnsi="Times New Roman"/>
                <w:sz w:val="20"/>
                <w:szCs w:val="20"/>
              </w:rPr>
              <w:t>2024</w:t>
            </w:r>
          </w:p>
        </w:tc>
      </w:tr>
      <w:tr>
        <w:trPr/>
        <w:tc>
          <w:tcPr>
            <w:tcW w:w="297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Водопостачання, тис. м</w:t>
            </w:r>
            <w:r>
              <w:rPr>
                <w:rFonts w:eastAsia="NSimSun" w:cs="Times New Roman" w:ascii="Times New Roman" w:hAnsi="Times New Roman"/>
                <w:kern w:val="2"/>
                <w:sz w:val="20"/>
                <w:szCs w:val="20"/>
                <w:vertAlign w:val="superscript"/>
                <w:lang w:eastAsia="zh-CN" w:bidi="hi-IN"/>
              </w:rPr>
              <w:t>3</w:t>
            </w:r>
          </w:p>
        </w:tc>
        <w:tc>
          <w:tcPr>
            <w:tcW w:w="8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11316</w:t>
            </w:r>
          </w:p>
        </w:tc>
        <w:tc>
          <w:tcPr>
            <w:tcW w:w="85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11272</w:t>
            </w:r>
          </w:p>
        </w:tc>
        <w:tc>
          <w:tcPr>
            <w:tcW w:w="83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10879</w:t>
            </w:r>
          </w:p>
        </w:tc>
        <w:tc>
          <w:tcPr>
            <w:tcW w:w="85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11268</w:t>
            </w:r>
          </w:p>
        </w:tc>
        <w:tc>
          <w:tcPr>
            <w:tcW w:w="86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10892</w:t>
            </w:r>
          </w:p>
        </w:tc>
        <w:tc>
          <w:tcPr>
            <w:tcW w:w="865"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9993</w:t>
            </w:r>
          </w:p>
        </w:tc>
        <w:tc>
          <w:tcPr>
            <w:tcW w:w="839"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10302</w:t>
            </w:r>
          </w:p>
        </w:tc>
        <w:tc>
          <w:tcPr>
            <w:tcW w:w="84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ascii="Times New Roman" w:hAnsi="Times New Roman"/>
                <w:sz w:val="20"/>
                <w:szCs w:val="20"/>
              </w:rPr>
              <w:t>10411</w:t>
            </w:r>
          </w:p>
        </w:tc>
      </w:tr>
      <w:tr>
        <w:trPr/>
        <w:tc>
          <w:tcPr>
            <w:tcW w:w="297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Водовідведення, тис. м</w:t>
            </w:r>
            <w:r>
              <w:rPr>
                <w:rFonts w:eastAsia="NSimSun" w:cs="Times New Roman" w:ascii="Times New Roman" w:hAnsi="Times New Roman"/>
                <w:kern w:val="2"/>
                <w:sz w:val="20"/>
                <w:szCs w:val="20"/>
                <w:vertAlign w:val="superscript"/>
                <w:lang w:eastAsia="zh-CN" w:bidi="hi-IN"/>
              </w:rPr>
              <w:t>3</w:t>
            </w:r>
          </w:p>
        </w:tc>
        <w:tc>
          <w:tcPr>
            <w:tcW w:w="86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10656</w:t>
            </w:r>
          </w:p>
        </w:tc>
        <w:tc>
          <w:tcPr>
            <w:tcW w:w="85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10065</w:t>
            </w:r>
          </w:p>
        </w:tc>
        <w:tc>
          <w:tcPr>
            <w:tcW w:w="83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10104</w:t>
            </w:r>
          </w:p>
        </w:tc>
        <w:tc>
          <w:tcPr>
            <w:tcW w:w="85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10211</w:t>
            </w:r>
          </w:p>
        </w:tc>
        <w:tc>
          <w:tcPr>
            <w:tcW w:w="86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10122</w:t>
            </w:r>
          </w:p>
        </w:tc>
        <w:tc>
          <w:tcPr>
            <w:tcW w:w="865"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9240</w:t>
            </w:r>
          </w:p>
        </w:tc>
        <w:tc>
          <w:tcPr>
            <w:tcW w:w="839"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9753</w:t>
            </w:r>
          </w:p>
        </w:tc>
        <w:tc>
          <w:tcPr>
            <w:tcW w:w="84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ascii="Times New Roman" w:hAnsi="Times New Roman"/>
                <w:sz w:val="20"/>
                <w:szCs w:val="20"/>
              </w:rPr>
              <w:t>9705</w:t>
            </w:r>
          </w:p>
        </w:tc>
      </w:tr>
    </w:tbl>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pPr>
      <w:r>
        <w:rPr>
          <w:rFonts w:cs="Times New Roman" w:ascii="Times New Roman" w:hAnsi="Times New Roman"/>
          <w:sz w:val="24"/>
          <w:szCs w:val="24"/>
        </w:rPr>
        <w:t>Таблиця 2.4. Технічні характеристики систем водопостачання</w:t>
      </w:r>
    </w:p>
    <w:tbl>
      <w:tblPr>
        <w:tblW w:w="9843" w:type="dxa"/>
        <w:jc w:val="start"/>
        <w:tblInd w:w="104" w:type="dxa"/>
        <w:tblLayout w:type="fixed"/>
        <w:tblCellMar>
          <w:top w:w="51" w:type="dxa"/>
          <w:start w:w="125" w:type="dxa"/>
          <w:bottom w:w="0" w:type="dxa"/>
          <w:end w:w="99" w:type="dxa"/>
        </w:tblCellMar>
        <w:tblLook w:firstRow="1" w:noVBand="1" w:lastRow="0" w:firstColumn="1" w:lastColumn="0" w:noHBand="0" w:val="04a0"/>
      </w:tblPr>
      <w:tblGrid>
        <w:gridCol w:w="3009"/>
        <w:gridCol w:w="3389"/>
        <w:gridCol w:w="3445"/>
      </w:tblGrid>
      <w:tr>
        <w:trPr>
          <w:trHeight w:val="695" w:hRule="atLeast"/>
        </w:trPr>
        <w:tc>
          <w:tcPr>
            <w:tcW w:w="300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Назва підприємства</w:t>
            </w:r>
          </w:p>
        </w:tc>
        <w:tc>
          <w:tcPr>
            <w:tcW w:w="3389"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Загальна протяжність водопровідних мереж</w:t>
            </w:r>
          </w:p>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(км)</w:t>
            </w:r>
          </w:p>
        </w:tc>
        <w:tc>
          <w:tcPr>
            <w:tcW w:w="344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ind w:start="113" w:end="227"/>
              <w:jc w:val="center"/>
              <w:rPr/>
            </w:pPr>
            <w:r>
              <w:rPr>
                <w:rFonts w:eastAsia="NSimSun" w:cs="Times New Roman" w:ascii="Times New Roman" w:hAnsi="Times New Roman"/>
                <w:kern w:val="2"/>
                <w:sz w:val="20"/>
                <w:szCs w:val="20"/>
                <w:shd w:fill="FFFFFF" w:val="clear"/>
                <w:lang w:eastAsia="zh-CN" w:bidi="hi-IN"/>
              </w:rPr>
              <w:t>Загальна протяжність водовідводів</w:t>
            </w:r>
          </w:p>
          <w:p>
            <w:pPr>
              <w:pStyle w:val="Normal"/>
              <w:widowControl w:val="false"/>
              <w:spacing w:lineRule="auto" w:line="240" w:before="0" w:after="0"/>
              <w:ind w:start="113" w:end="227"/>
              <w:jc w:val="center"/>
              <w:rPr/>
            </w:pPr>
            <w:r>
              <w:rPr>
                <w:rFonts w:eastAsia="NSimSun" w:cs="Times New Roman" w:ascii="Times New Roman" w:hAnsi="Times New Roman"/>
                <w:kern w:val="2"/>
                <w:sz w:val="20"/>
                <w:szCs w:val="20"/>
                <w:shd w:fill="FFFFFF" w:val="clear"/>
                <w:lang w:eastAsia="zh-CN" w:bidi="hi-IN"/>
              </w:rPr>
              <w:t>(км)</w:t>
            </w:r>
          </w:p>
        </w:tc>
      </w:tr>
      <w:tr>
        <w:trPr>
          <w:trHeight w:val="235" w:hRule="atLeast"/>
        </w:trPr>
        <w:tc>
          <w:tcPr>
            <w:tcW w:w="3009"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КП «Луцькводоканал»</w:t>
            </w:r>
          </w:p>
        </w:tc>
        <w:tc>
          <w:tcPr>
            <w:tcW w:w="3389"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664,45</w:t>
            </w:r>
          </w:p>
        </w:tc>
        <w:tc>
          <w:tcPr>
            <w:tcW w:w="3445"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418,7</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pPr>
      <w:r>
        <w:rPr>
          <w:rFonts w:eastAsia="NSimSun" w:cs="Times New Roman" w:ascii="Times New Roman" w:hAnsi="Times New Roman"/>
          <w:kern w:val="2"/>
          <w:sz w:val="24"/>
          <w:szCs w:val="24"/>
          <w:lang w:eastAsia="zh-CN" w:bidi="hi-IN"/>
        </w:rPr>
        <w:t xml:space="preserve">Таблиця 2.5. Стан мереж </w:t>
      </w:r>
    </w:p>
    <w:tbl>
      <w:tblPr>
        <w:tblW w:w="9908" w:type="dxa"/>
        <w:jc w:val="start"/>
        <w:tblInd w:w="75" w:type="dxa"/>
        <w:tblLayout w:type="fixed"/>
        <w:tblCellMar>
          <w:top w:w="51" w:type="dxa"/>
          <w:start w:w="126" w:type="dxa"/>
          <w:bottom w:w="0" w:type="dxa"/>
          <w:end w:w="115" w:type="dxa"/>
        </w:tblCellMar>
        <w:tblLook w:firstRow="1" w:noVBand="1" w:lastRow="0" w:firstColumn="1" w:lastColumn="0" w:noHBand="0" w:val="04a0"/>
      </w:tblPr>
      <w:tblGrid>
        <w:gridCol w:w="3315"/>
        <w:gridCol w:w="3368"/>
        <w:gridCol w:w="3225"/>
      </w:tblGrid>
      <w:tr>
        <w:trPr>
          <w:trHeight w:val="465" w:hRule="atLeast"/>
        </w:trPr>
        <w:tc>
          <w:tcPr>
            <w:tcW w:w="331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Назва підприємства-водопостачальника</w:t>
            </w:r>
          </w:p>
        </w:tc>
        <w:tc>
          <w:tcPr>
            <w:tcW w:w="336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Рівень зношеності мережі водопостачання/водовідведення (%)</w:t>
            </w:r>
          </w:p>
        </w:tc>
        <w:tc>
          <w:tcPr>
            <w:tcW w:w="322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Невраховані втрати води в мережі (%)</w:t>
            </w:r>
          </w:p>
        </w:tc>
      </w:tr>
      <w:tr>
        <w:trPr>
          <w:trHeight w:val="235" w:hRule="atLeast"/>
        </w:trPr>
        <w:tc>
          <w:tcPr>
            <w:tcW w:w="331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КП «Луцькводоканал»</w:t>
            </w:r>
          </w:p>
        </w:tc>
        <w:tc>
          <w:tcPr>
            <w:tcW w:w="336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57/54</w:t>
            </w:r>
          </w:p>
        </w:tc>
        <w:tc>
          <w:tcPr>
            <w:tcW w:w="322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35,9</w:t>
            </w:r>
          </w:p>
        </w:tc>
      </w:tr>
    </w:tbl>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 xml:space="preserve">Відведення й очищення побутових та виробничих стічних вод здійснюється загальноміською централізованою системою каналізації. </w:t>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pPr>
      <w:r>
        <w:rPr>
          <w:rFonts w:eastAsia="NSimSun" w:cs="Times New Roman" w:ascii="Times New Roman" w:hAnsi="Times New Roman"/>
          <w:color w:val="000000"/>
          <w:kern w:val="2"/>
          <w:sz w:val="24"/>
          <w:szCs w:val="24"/>
          <w:lang w:eastAsia="zh-CN" w:bidi="hi-IN"/>
        </w:rPr>
        <w:t xml:space="preserve">Таблиця 2.6. Загальні обсяги водоспоживання, водовідведення та стічних вод </w:t>
      </w:r>
    </w:p>
    <w:tbl>
      <w:tblPr>
        <w:tblW w:w="9765" w:type="dxa"/>
        <w:jc w:val="start"/>
        <w:tblInd w:w="102" w:type="dxa"/>
        <w:tblLayout w:type="fixed"/>
        <w:tblCellMar>
          <w:top w:w="0" w:type="dxa"/>
          <w:start w:w="108" w:type="dxa"/>
          <w:bottom w:w="0" w:type="dxa"/>
          <w:end w:w="108" w:type="dxa"/>
        </w:tblCellMar>
        <w:tblLook w:firstRow="1" w:noVBand="1" w:lastRow="0" w:firstColumn="1" w:lastColumn="0" w:noHBand="0" w:val="04a0"/>
      </w:tblPr>
      <w:tblGrid>
        <w:gridCol w:w="2368"/>
        <w:gridCol w:w="931"/>
        <w:gridCol w:w="915"/>
        <w:gridCol w:w="932"/>
        <w:gridCol w:w="928"/>
        <w:gridCol w:w="915"/>
        <w:gridCol w:w="932"/>
        <w:gridCol w:w="929"/>
        <w:gridCol w:w="914"/>
      </w:tblGrid>
      <w:tr>
        <w:trPr/>
        <w:tc>
          <w:tcPr>
            <w:tcW w:w="2368" w:type="dxa"/>
            <w:vMerge w:val="restart"/>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Параметр</w:t>
            </w:r>
          </w:p>
        </w:tc>
        <w:tc>
          <w:tcPr>
            <w:tcW w:w="7396" w:type="dxa"/>
            <w:gridSpan w:val="8"/>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Роки</w:t>
            </w:r>
          </w:p>
        </w:tc>
      </w:tr>
      <w:tr>
        <w:trPr/>
        <w:tc>
          <w:tcPr>
            <w:tcW w:w="2368" w:type="dxa"/>
            <w:vMerge w:val="continue"/>
            <w:tcBorders>
              <w:start w:val="single" w:sz="2" w:space="0" w:color="000000"/>
              <w:bottom w:val="single" w:sz="2"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93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2017</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2018</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2019</w:t>
            </w:r>
          </w:p>
        </w:tc>
        <w:tc>
          <w:tcPr>
            <w:tcW w:w="92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2020</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2021</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2022</w:t>
            </w:r>
          </w:p>
        </w:tc>
        <w:tc>
          <w:tcPr>
            <w:tcW w:w="92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2023</w:t>
            </w:r>
          </w:p>
        </w:tc>
        <w:tc>
          <w:tcPr>
            <w:tcW w:w="914"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2024</w:t>
            </w:r>
          </w:p>
        </w:tc>
      </w:tr>
      <w:tr>
        <w:trPr/>
        <w:tc>
          <w:tcPr>
            <w:tcW w:w="2368"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Загальна кількість води, що надана споживачеві*, тис. м</w:t>
            </w:r>
            <w:r>
              <w:rPr>
                <w:rFonts w:cs="Times New Roman" w:ascii="Times New Roman" w:hAnsi="Times New Roman"/>
                <w:color w:val="000000"/>
                <w:sz w:val="20"/>
                <w:szCs w:val="20"/>
                <w:vertAlign w:val="superscript"/>
              </w:rPr>
              <w:t>3</w:t>
            </w:r>
          </w:p>
        </w:tc>
        <w:tc>
          <w:tcPr>
            <w:tcW w:w="93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11316,1</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11272,0</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10879,2</w:t>
            </w:r>
          </w:p>
        </w:tc>
        <w:tc>
          <w:tcPr>
            <w:tcW w:w="92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11435,6</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10892,0</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9993,0</w:t>
            </w:r>
          </w:p>
        </w:tc>
        <w:tc>
          <w:tcPr>
            <w:tcW w:w="92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10302,4</w:t>
            </w:r>
          </w:p>
        </w:tc>
        <w:tc>
          <w:tcPr>
            <w:tcW w:w="914"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10410,0</w:t>
            </w:r>
          </w:p>
        </w:tc>
      </w:tr>
      <w:tr>
        <w:trPr/>
        <w:tc>
          <w:tcPr>
            <w:tcW w:w="2368"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Загальна кількість виробленої питної води, тис. м</w:t>
            </w:r>
            <w:r>
              <w:rPr>
                <w:rFonts w:cs="Times New Roman" w:ascii="Times New Roman" w:hAnsi="Times New Roman"/>
                <w:color w:val="000000"/>
                <w:sz w:val="20"/>
                <w:szCs w:val="20"/>
                <w:vertAlign w:val="superscript"/>
              </w:rPr>
              <w:t>3</w:t>
            </w:r>
          </w:p>
        </w:tc>
        <w:tc>
          <w:tcPr>
            <w:tcW w:w="93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15717,4</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16676,4</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15735,0</w:t>
            </w:r>
          </w:p>
        </w:tc>
        <w:tc>
          <w:tcPr>
            <w:tcW w:w="92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15431,2</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15418,2</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15234,1</w:t>
            </w:r>
          </w:p>
        </w:tc>
        <w:tc>
          <w:tcPr>
            <w:tcW w:w="92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16041,0</w:t>
            </w:r>
          </w:p>
        </w:tc>
        <w:tc>
          <w:tcPr>
            <w:tcW w:w="914"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16692,5</w:t>
            </w:r>
          </w:p>
        </w:tc>
      </w:tr>
      <w:tr>
        <w:trPr/>
        <w:tc>
          <w:tcPr>
            <w:tcW w:w="2368"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Загальна кількість стічних вод**, тис. м</w:t>
            </w:r>
            <w:r>
              <w:rPr>
                <w:rFonts w:cs="Times New Roman" w:ascii="Times New Roman" w:hAnsi="Times New Roman"/>
                <w:color w:val="000000"/>
                <w:sz w:val="20"/>
                <w:szCs w:val="20"/>
                <w:vertAlign w:val="superscript"/>
              </w:rPr>
              <w:t>3</w:t>
            </w:r>
          </w:p>
        </w:tc>
        <w:tc>
          <w:tcPr>
            <w:tcW w:w="93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10065,0</w:t>
            </w:r>
          </w:p>
          <w:p>
            <w:pPr>
              <w:pStyle w:val="Normal"/>
              <w:widowControl w:val="false"/>
              <w:spacing w:lineRule="auto" w:line="240" w:before="0" w:after="0"/>
              <w:contextualSpacing/>
              <w:jc w:val="center"/>
              <w:rPr/>
            </w:pPr>
            <w:r>
              <w:rPr>
                <w:rFonts w:ascii="Times New Roman" w:hAnsi="Times New Roman"/>
                <w:color w:val="000000"/>
                <w:sz w:val="20"/>
                <w:szCs w:val="20"/>
              </w:rPr>
              <w:t>16778,0</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10104,0</w:t>
            </w:r>
          </w:p>
          <w:p>
            <w:pPr>
              <w:pStyle w:val="Normal"/>
              <w:widowControl w:val="false"/>
              <w:spacing w:lineRule="auto" w:line="240" w:before="0" w:after="0"/>
              <w:contextualSpacing/>
              <w:jc w:val="center"/>
              <w:rPr/>
            </w:pPr>
            <w:r>
              <w:rPr>
                <w:rFonts w:ascii="Times New Roman" w:hAnsi="Times New Roman"/>
                <w:color w:val="000000"/>
                <w:sz w:val="20"/>
                <w:szCs w:val="20"/>
              </w:rPr>
              <w:t>17594,0</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10211,0</w:t>
            </w:r>
          </w:p>
          <w:p>
            <w:pPr>
              <w:pStyle w:val="Normal"/>
              <w:widowControl w:val="false"/>
              <w:spacing w:lineRule="auto" w:line="240" w:before="0" w:after="0"/>
              <w:contextualSpacing/>
              <w:jc w:val="center"/>
              <w:rPr/>
            </w:pPr>
            <w:r>
              <w:rPr>
                <w:rFonts w:ascii="Times New Roman" w:hAnsi="Times New Roman"/>
                <w:color w:val="000000"/>
                <w:sz w:val="20"/>
                <w:szCs w:val="20"/>
              </w:rPr>
              <w:t>17660,0</w:t>
            </w:r>
          </w:p>
        </w:tc>
        <w:tc>
          <w:tcPr>
            <w:tcW w:w="92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u w:val="single"/>
              </w:rPr>
              <w:t>10211,4</w:t>
            </w:r>
          </w:p>
          <w:p>
            <w:pPr>
              <w:pStyle w:val="Normal"/>
              <w:widowControl w:val="false"/>
              <w:spacing w:lineRule="auto" w:line="240" w:before="0" w:after="0"/>
              <w:contextualSpacing/>
              <w:jc w:val="center"/>
              <w:rPr/>
            </w:pPr>
            <w:r>
              <w:rPr>
                <w:rFonts w:cs="Times New Roman" w:ascii="Times New Roman" w:hAnsi="Times New Roman"/>
                <w:color w:val="000000"/>
                <w:sz w:val="20"/>
                <w:szCs w:val="20"/>
              </w:rPr>
              <w:t>17660,3</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9240,0</w:t>
            </w:r>
          </w:p>
          <w:p>
            <w:pPr>
              <w:pStyle w:val="Normal"/>
              <w:widowControl w:val="false"/>
              <w:spacing w:lineRule="auto" w:line="240" w:before="0" w:after="0"/>
              <w:contextualSpacing/>
              <w:jc w:val="center"/>
              <w:rPr/>
            </w:pPr>
            <w:r>
              <w:rPr>
                <w:rFonts w:ascii="Times New Roman" w:hAnsi="Times New Roman"/>
                <w:color w:val="000000"/>
                <w:sz w:val="20"/>
                <w:szCs w:val="20"/>
              </w:rPr>
              <w:t>13024,0</w:t>
            </w:r>
          </w:p>
        </w:tc>
        <w:tc>
          <w:tcPr>
            <w:tcW w:w="93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u w:val="single"/>
              </w:rPr>
              <w:t>9239,7</w:t>
            </w:r>
          </w:p>
          <w:p>
            <w:pPr>
              <w:pStyle w:val="Normal"/>
              <w:widowControl w:val="false"/>
              <w:spacing w:lineRule="auto" w:line="240" w:before="0" w:after="0"/>
              <w:contextualSpacing/>
              <w:jc w:val="center"/>
              <w:rPr/>
            </w:pPr>
            <w:r>
              <w:rPr>
                <w:rFonts w:cs="Times New Roman" w:ascii="Times New Roman" w:hAnsi="Times New Roman"/>
                <w:color w:val="000000"/>
                <w:sz w:val="20"/>
                <w:szCs w:val="20"/>
              </w:rPr>
              <w:t>13024,4</w:t>
            </w:r>
          </w:p>
        </w:tc>
        <w:tc>
          <w:tcPr>
            <w:tcW w:w="92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9752,9</w:t>
            </w:r>
          </w:p>
          <w:p>
            <w:pPr>
              <w:pStyle w:val="Normal"/>
              <w:widowControl w:val="false"/>
              <w:spacing w:lineRule="auto" w:line="240" w:before="0" w:after="0"/>
              <w:contextualSpacing/>
              <w:jc w:val="center"/>
              <w:rPr/>
            </w:pPr>
            <w:r>
              <w:rPr>
                <w:rFonts w:ascii="Times New Roman" w:hAnsi="Times New Roman"/>
                <w:color w:val="000000"/>
                <w:sz w:val="20"/>
                <w:szCs w:val="20"/>
              </w:rPr>
              <w:t>14812,9</w:t>
            </w:r>
          </w:p>
        </w:tc>
        <w:tc>
          <w:tcPr>
            <w:tcW w:w="914"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9704,8</w:t>
            </w:r>
          </w:p>
          <w:p>
            <w:pPr>
              <w:pStyle w:val="Normal"/>
              <w:widowControl w:val="false"/>
              <w:spacing w:lineRule="auto" w:line="240" w:before="0" w:after="0"/>
              <w:contextualSpacing/>
              <w:jc w:val="center"/>
              <w:rPr/>
            </w:pPr>
            <w:r>
              <w:rPr>
                <w:rFonts w:ascii="Times New Roman" w:hAnsi="Times New Roman"/>
                <w:color w:val="000000"/>
                <w:sz w:val="20"/>
                <w:szCs w:val="20"/>
              </w:rPr>
              <w:t>16308,7</w:t>
            </w:r>
          </w:p>
        </w:tc>
      </w:tr>
    </w:tbl>
    <w:p>
      <w:pPr>
        <w:pStyle w:val="Normal"/>
        <w:spacing w:lineRule="auto" w:line="240" w:before="0" w:after="0"/>
        <w:ind w:hanging="720" w:start="720"/>
        <w:rPr/>
      </w:pPr>
      <w:r>
        <w:rPr>
          <w:rFonts w:eastAsia="NSimSun" w:cs="Times New Roman" w:ascii="Times New Roman" w:hAnsi="Times New Roman"/>
          <w:color w:themeColor="dark1" w:val="000000"/>
          <w:kern w:val="2"/>
          <w:sz w:val="16"/>
          <w:szCs w:val="16"/>
          <w:lang w:eastAsia="zh-CN" w:bidi="hi-IN"/>
        </w:rPr>
        <w:t>*- згідно виставлених рахунків **- чисельник - реалізація, знаменник - пропуск через систему</w:t>
      </w:r>
      <w:r>
        <w:br w:type="page"/>
      </w:r>
    </w:p>
    <w:p>
      <w:pPr>
        <w:pStyle w:val="Normal"/>
        <w:spacing w:lineRule="auto" w:line="240" w:before="0" w:after="0"/>
        <w:ind w:hanging="720" w:start="720"/>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55">
            <wp:simplePos x="0" y="0"/>
            <wp:positionH relativeFrom="column">
              <wp:align>center</wp:align>
            </wp:positionH>
            <wp:positionV relativeFrom="paragraph">
              <wp:posOffset>635</wp:posOffset>
            </wp:positionV>
            <wp:extent cx="4011295" cy="2256790"/>
            <wp:effectExtent l="0" t="0" r="0" b="0"/>
            <wp:wrapSquare wrapText="largest"/>
            <wp:docPr id="4" name="Об'єкт21"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pPr>
      <w:r>
        <w:rPr>
          <w:rFonts w:eastAsia="NSimSun" w:cs="Times New Roman" w:ascii="Times New Roman" w:hAnsi="Times New Roman"/>
          <w:color w:val="000000"/>
          <w:kern w:val="2"/>
          <w:sz w:val="24"/>
          <w:szCs w:val="24"/>
          <w:lang w:eastAsia="zh-CN" w:bidi="hi-IN"/>
        </w:rPr>
        <w:t xml:space="preserve">Рисунок 2.2. Загальні обсяги водоспоживання в Луцькій МТГ </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Обсяги споживання води та водовідведення за категоріями споживачів громади наведено у підрозділі </w:t>
      </w:r>
      <w:r>
        <w:rPr>
          <w:rFonts w:eastAsia="NSimSun" w:cs="Times New Roman" w:ascii="Times New Roman" w:hAnsi="Times New Roman"/>
          <w:color w:val="000000"/>
          <w:kern w:val="2"/>
          <w:sz w:val="24"/>
          <w:szCs w:val="24"/>
          <w:shd w:fill="FFFFFF" w:val="clear"/>
          <w:lang w:eastAsia="zh-CN" w:bidi="hi-IN"/>
        </w:rPr>
        <w:t xml:space="preserve">Д2.3.2 «Сфера водопостачання та водовідведення» </w:t>
      </w:r>
      <w:r>
        <w:rPr>
          <w:rFonts w:eastAsia="NSimSun" w:cs="Times New Roman" w:ascii="Times New Roman" w:hAnsi="Times New Roman"/>
          <w:color w:val="000000"/>
          <w:kern w:val="2"/>
          <w:sz w:val="24"/>
          <w:szCs w:val="24"/>
          <w:lang w:eastAsia="zh-CN" w:bidi="hi-IN"/>
        </w:rPr>
        <w:t>додатку 2.</w:t>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54">
            <wp:simplePos x="0" y="0"/>
            <wp:positionH relativeFrom="column">
              <wp:align>center</wp:align>
            </wp:positionH>
            <wp:positionV relativeFrom="paragraph">
              <wp:posOffset>635</wp:posOffset>
            </wp:positionV>
            <wp:extent cx="4375150" cy="2461260"/>
            <wp:effectExtent l="0" t="0" r="0" b="0"/>
            <wp:wrapSquare wrapText="largest"/>
            <wp:docPr id="5" name="Об'єкт12"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color w:val="000000"/>
        </w:rPr>
      </w:pPr>
      <w:r>
        <w:rPr>
          <w:rFonts w:eastAsia="NSimSun" w:cs="Times New Roman" w:ascii="Times New Roman" w:hAnsi="Times New Roman"/>
          <w:color w:val="000000"/>
          <w:kern w:val="2"/>
          <w:sz w:val="24"/>
          <w:szCs w:val="24"/>
          <w:lang w:eastAsia="zh-CN" w:bidi="hi-IN"/>
        </w:rPr>
        <w:t>Рисунок 2.3. Динаміка обсягів водопостачання та водовідведення, тис. м</w:t>
      </w:r>
      <w:r>
        <w:rPr>
          <w:rFonts w:eastAsia="NSimSun" w:cs="Times New Roman" w:ascii="Times New Roman" w:hAnsi="Times New Roman"/>
          <w:color w:val="000000"/>
          <w:kern w:val="2"/>
          <w:sz w:val="24"/>
          <w:szCs w:val="24"/>
          <w:vertAlign w:val="superscript"/>
          <w:lang w:eastAsia="zh-CN" w:bidi="hi-IN"/>
        </w:rPr>
        <w:t>3</w:t>
      </w:r>
      <w:r>
        <w:rPr>
          <w:rFonts w:eastAsia="NSimSun" w:cs="Times New Roman" w:ascii="Times New Roman" w:hAnsi="Times New Roman"/>
          <w:color w:val="000000"/>
          <w:kern w:val="2"/>
          <w:sz w:val="24"/>
          <w:szCs w:val="24"/>
          <w:lang w:eastAsia="zh-CN" w:bidi="hi-IN"/>
        </w:rPr>
        <w:t xml:space="preserve">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Кількість абонентів </w:t>
      </w:r>
      <w:r>
        <w:rPr>
          <w:rFonts w:eastAsia="NSimSun" w:cs="Times New Roman" w:ascii="Times New Roman" w:hAnsi="Times New Roman"/>
          <w:color w:val="000000"/>
          <w:kern w:val="2"/>
          <w:sz w:val="24"/>
          <w:szCs w:val="24"/>
          <w:lang w:eastAsia="zh-CN" w:bidi="hi-IN"/>
        </w:rPr>
        <w:t>з водопостачання та водовідведення з кожним роком збільшується.</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Станом на 01.01.2025 загальна кількість абонентів водопостачання становила – 97843, а водовідведення – 84705. Чисельність населення, що обслуговується підприємством становила для водопостачання – 213313 осіб та для  водовідведення – 214876 осіб.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53">
            <wp:simplePos x="0" y="0"/>
            <wp:positionH relativeFrom="column">
              <wp:align>center</wp:align>
            </wp:positionH>
            <wp:positionV relativeFrom="paragraph">
              <wp:posOffset>635</wp:posOffset>
            </wp:positionV>
            <wp:extent cx="4040505" cy="2087245"/>
            <wp:effectExtent l="0" t="0" r="0" b="0"/>
            <wp:wrapSquare wrapText="largest"/>
            <wp:docPr id="6" name="Об'єкт28"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pPr>
      <w:r>
        <w:rPr>
          <w:rFonts w:eastAsia="NSimSun" w:cs="Times New Roman" w:ascii="Times New Roman" w:hAnsi="Times New Roman"/>
          <w:color w:val="000000"/>
          <w:kern w:val="2"/>
          <w:sz w:val="24"/>
          <w:szCs w:val="24"/>
          <w:shd w:fill="FFFFFF" w:val="clear"/>
          <w:lang w:eastAsia="zh-CN" w:bidi="hi-IN"/>
        </w:rPr>
        <w:t>Рисунок 2.4. О</w:t>
      </w:r>
      <w:r>
        <w:rPr>
          <w:rFonts w:eastAsia="Times New Roman" w:cs="Times New Roman" w:ascii="Times New Roman" w:hAnsi="Times New Roman"/>
          <w:color w:val="000000"/>
          <w:kern w:val="2"/>
          <w:sz w:val="24"/>
          <w:szCs w:val="24"/>
          <w:shd w:fill="FFFFFF" w:val="clear"/>
          <w:lang w:eastAsia="de-DE" w:bidi="hi-IN"/>
        </w:rPr>
        <w:t xml:space="preserve">бсяги </w:t>
      </w:r>
      <w:r>
        <w:rPr>
          <w:rFonts w:eastAsia="NSimSun" w:cs="Times New Roman" w:ascii="Times New Roman" w:hAnsi="Times New Roman"/>
          <w:color w:val="000000"/>
          <w:kern w:val="2"/>
          <w:sz w:val="24"/>
          <w:szCs w:val="24"/>
          <w:shd w:fill="FFFFFF" w:val="clear"/>
          <w:lang w:eastAsia="zh-CN" w:bidi="hi-IN"/>
        </w:rPr>
        <w:t>спожитої електроенергії КП «Луцькводоканал», тис.</w:t>
      </w:r>
      <w:r>
        <w:rPr>
          <w:rFonts w:eastAsia="Microsoft Sans Serif" w:cs="Times New Roman" w:ascii="Times New Roman" w:hAnsi="Times New Roman"/>
          <w:color w:val="000000"/>
          <w:kern w:val="2"/>
          <w:sz w:val="24"/>
          <w:szCs w:val="24"/>
          <w:shd w:fill="FFFFFF" w:val="clear"/>
          <w:lang w:eastAsia="zh-CN" w:bidi="hi-IN"/>
        </w:rPr>
        <w:t>МВт∙год</w:t>
      </w:r>
    </w:p>
    <w:p>
      <w:pPr>
        <w:pStyle w:val="Normal"/>
        <w:spacing w:lineRule="auto" w:line="240" w:before="0" w:after="0"/>
        <w:jc w:val="center"/>
        <w:rPr>
          <w:color w:val="C9211E"/>
        </w:rPr>
      </w:pPr>
      <w:r>
        <w:rPr>
          <w:color w:val="C9211E"/>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2.3.3. Зовнішнє вуличне освітлення</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Мережі зовнішнього освітлення Луцької МТГ знаходят</w:t>
      </w:r>
      <w:r>
        <w:rPr>
          <w:rFonts w:eastAsia="NSimSun" w:cs="Times New Roman" w:ascii="Times New Roman" w:hAnsi="Times New Roman"/>
          <w:kern w:val="2"/>
          <w:sz w:val="24"/>
          <w:szCs w:val="24"/>
          <w:lang w:eastAsia="zh-CN" w:bidi="hi-IN"/>
        </w:rPr>
        <w:t>ься на балансі комунального підприємства «Луцьке електротехнічне підприємство – Луцьксвітло» (далі – КП «Луцьксвітло»).</w:t>
      </w:r>
    </w:p>
    <w:p>
      <w:pPr>
        <w:pStyle w:val="Normal"/>
        <w:tabs>
          <w:tab w:val="clear" w:pos="708"/>
          <w:tab w:val="left" w:pos="210" w:leader="none"/>
        </w:tabs>
        <w:spacing w:before="0" w:after="0"/>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52">
            <wp:simplePos x="0" y="0"/>
            <wp:positionH relativeFrom="column">
              <wp:align>center</wp:align>
            </wp:positionH>
            <wp:positionV relativeFrom="paragraph">
              <wp:posOffset>635</wp:posOffset>
            </wp:positionV>
            <wp:extent cx="4743450" cy="2668270"/>
            <wp:effectExtent l="0" t="0" r="0" b="0"/>
            <wp:wrapSquare wrapText="largest"/>
            <wp:docPr id="7" name="Об'єкт4"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Normal"/>
        <w:numPr>
          <w:ilvl w:val="0"/>
          <w:numId w:val="0"/>
        </w:numPr>
        <w:spacing w:lineRule="auto" w:line="240" w:before="0" w:after="0"/>
        <w:ind w:firstLine="567" w:start="0"/>
        <w:jc w:val="center"/>
        <w:outlineLvl w:val="3"/>
        <w:rPr>
          <w:color w:val="000000"/>
        </w:rPr>
      </w:pPr>
      <w:r>
        <w:rPr>
          <w:rFonts w:eastAsia="Arial" w:cs="Times New Roman" w:ascii="Times New Roman" w:hAnsi="Times New Roman"/>
          <w:color w:val="000000"/>
          <w:kern w:val="2"/>
          <w:sz w:val="24"/>
          <w:szCs w:val="24"/>
        </w:rPr>
        <w:t xml:space="preserve">Рисунок 2.5. Витрати електроенергії в системі зовнішнього освітлення міста, </w:t>
      </w:r>
      <w:r>
        <w:rPr>
          <w:rFonts w:eastAsia="Microsoft Sans Serif" w:cs="Times New Roman" w:ascii="Times New Roman" w:hAnsi="Times New Roman"/>
          <w:color w:val="000000"/>
          <w:kern w:val="2"/>
          <w:sz w:val="24"/>
          <w:szCs w:val="24"/>
          <w:shd w:fill="FFFFFF" w:val="clear"/>
        </w:rPr>
        <w:t>МВт∙год</w:t>
      </w:r>
      <w:r>
        <w:rPr>
          <w:rFonts w:eastAsia="Arial" w:cs="Times New Roman" w:ascii="Times New Roman" w:hAnsi="Times New Roman"/>
          <w:color w:val="000000"/>
          <w:kern w:val="2"/>
          <w:sz w:val="24"/>
          <w:szCs w:val="24"/>
        </w:rPr>
        <w:t xml:space="preserve"> </w:t>
      </w:r>
    </w:p>
    <w:p>
      <w:pPr>
        <w:pStyle w:val="Normal"/>
        <w:tabs>
          <w:tab w:val="clear" w:pos="708"/>
          <w:tab w:val="left" w:pos="210" w:leader="none"/>
        </w:tabs>
        <w:spacing w:before="0" w:after="0"/>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tabs>
          <w:tab w:val="clear" w:pos="708"/>
          <w:tab w:val="left" w:pos="210" w:leader="none"/>
        </w:tabs>
        <w:spacing w:before="0" w:after="0"/>
        <w:jc w:val="center"/>
        <w:rPr>
          <w:color w:val="000000"/>
        </w:rPr>
      </w:pPr>
      <w:r>
        <w:rPr>
          <w:rFonts w:eastAsia="NSimSun" w:cs="Times New Roman" w:ascii="Times New Roman" w:hAnsi="Times New Roman"/>
          <w:color w:val="000000"/>
          <w:kern w:val="2"/>
          <w:sz w:val="24"/>
          <w:szCs w:val="24"/>
          <w:lang w:eastAsia="zh-CN" w:bidi="hi-IN"/>
        </w:rPr>
        <w:t>Таблиця 2.7. Основні параметри системи зовнішнього освітлення станом на 01.01.2025</w:t>
      </w:r>
    </w:p>
    <w:tbl>
      <w:tblPr>
        <w:tblW w:w="9555" w:type="dxa"/>
        <w:jc w:val="start"/>
        <w:tblInd w:w="127" w:type="dxa"/>
        <w:tblLayout w:type="fixed"/>
        <w:tblCellMar>
          <w:top w:w="28" w:type="dxa"/>
          <w:start w:w="28" w:type="dxa"/>
          <w:bottom w:w="28" w:type="dxa"/>
          <w:end w:w="28" w:type="dxa"/>
        </w:tblCellMar>
        <w:tblLook w:firstRow="1" w:noVBand="1" w:lastRow="0" w:firstColumn="1" w:lastColumn="0" w:noHBand="0" w:val="04a0"/>
      </w:tblPr>
      <w:tblGrid>
        <w:gridCol w:w="665"/>
        <w:gridCol w:w="6678"/>
        <w:gridCol w:w="2212"/>
      </w:tblGrid>
      <w:tr>
        <w:trPr/>
        <w:tc>
          <w:tcPr>
            <w:tcW w:w="665" w:type="dxa"/>
            <w:tcBorders>
              <w:top w:val="single" w:sz="2" w:space="0" w:color="000000"/>
              <w:start w:val="single" w:sz="2" w:space="0" w:color="000000"/>
              <w:bottom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w:t>
            </w:r>
          </w:p>
        </w:tc>
        <w:tc>
          <w:tcPr>
            <w:tcW w:w="6678" w:type="dxa"/>
            <w:tcBorders>
              <w:top w:val="single" w:sz="2" w:space="0" w:color="000000"/>
              <w:start w:val="single" w:sz="2" w:space="0" w:color="000000"/>
              <w:bottom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Параметр</w:t>
            </w:r>
          </w:p>
        </w:tc>
        <w:tc>
          <w:tcPr>
            <w:tcW w:w="2212" w:type="dxa"/>
            <w:tcBorders>
              <w:top w:val="single" w:sz="2" w:space="0" w:color="000000"/>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Показник</w:t>
            </w:r>
          </w:p>
        </w:tc>
      </w:tr>
      <w:tr>
        <w:trPr/>
        <w:tc>
          <w:tcPr>
            <w:tcW w:w="665" w:type="dxa"/>
            <w:tcBorders>
              <w:start w:val="single" w:sz="2" w:space="0" w:color="000000"/>
              <w:bottom w:val="single" w:sz="2" w:space="0" w:color="000000"/>
            </w:tcBorders>
          </w:tcPr>
          <w:p>
            <w:pPr>
              <w:pStyle w:val="Normal"/>
              <w:widowControl w:val="false"/>
              <w:tabs>
                <w:tab w:val="clear" w:pos="708"/>
                <w:tab w:val="left" w:pos="0" w:leader="none"/>
              </w:tabs>
              <w:spacing w:before="0" w:after="0"/>
              <w:jc w:val="center"/>
              <w:rPr/>
            </w:pPr>
            <w:r>
              <w:rPr>
                <w:rFonts w:eastAsia="NSimSun" w:cs="Times New Roman" w:ascii="Times New Roman" w:hAnsi="Times New Roman"/>
                <w:kern w:val="2"/>
                <w:sz w:val="20"/>
                <w:szCs w:val="20"/>
                <w:lang w:eastAsia="zh-CN" w:bidi="hi-IN"/>
              </w:rPr>
              <w:t>1</w:t>
            </w:r>
          </w:p>
        </w:tc>
        <w:tc>
          <w:tcPr>
            <w:tcW w:w="6678"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Загальна кількість світлоточок МТГ/місто</w:t>
            </w:r>
          </w:p>
        </w:tc>
        <w:tc>
          <w:tcPr>
            <w:tcW w:w="2212"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17 048/12 010 од.</w:t>
            </w:r>
          </w:p>
        </w:tc>
      </w:tr>
      <w:tr>
        <w:trPr/>
        <w:tc>
          <w:tcPr>
            <w:tcW w:w="665" w:type="dxa"/>
            <w:tcBorders>
              <w:start w:val="single" w:sz="2" w:space="0" w:color="000000"/>
              <w:bottom w:val="single" w:sz="2" w:space="0" w:color="000000"/>
            </w:tcBorders>
          </w:tcPr>
          <w:p>
            <w:pPr>
              <w:pStyle w:val="Normal"/>
              <w:widowControl w:val="false"/>
              <w:tabs>
                <w:tab w:val="clear" w:pos="708"/>
                <w:tab w:val="left" w:pos="0" w:leader="none"/>
              </w:tabs>
              <w:spacing w:before="0" w:after="0"/>
              <w:jc w:val="center"/>
              <w:rPr/>
            </w:pPr>
            <w:r>
              <w:rPr>
                <w:rFonts w:eastAsia="NSimSun" w:cs="Times New Roman" w:ascii="Times New Roman" w:hAnsi="Times New Roman"/>
                <w:kern w:val="2"/>
                <w:sz w:val="20"/>
                <w:szCs w:val="20"/>
                <w:lang w:eastAsia="zh-CN" w:bidi="hi-IN"/>
              </w:rPr>
              <w:t>2</w:t>
            </w:r>
          </w:p>
        </w:tc>
        <w:tc>
          <w:tcPr>
            <w:tcW w:w="6678"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Світильники різних модифікацій</w:t>
            </w:r>
          </w:p>
        </w:tc>
        <w:tc>
          <w:tcPr>
            <w:tcW w:w="2212"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11 828 од.</w:t>
            </w:r>
          </w:p>
        </w:tc>
      </w:tr>
      <w:tr>
        <w:trPr/>
        <w:tc>
          <w:tcPr>
            <w:tcW w:w="665" w:type="dxa"/>
            <w:tcBorders>
              <w:start w:val="single" w:sz="2" w:space="0" w:color="000000"/>
              <w:bottom w:val="single" w:sz="2" w:space="0" w:color="000000"/>
            </w:tcBorders>
          </w:tcPr>
          <w:p>
            <w:pPr>
              <w:pStyle w:val="Normal"/>
              <w:widowControl w:val="false"/>
              <w:tabs>
                <w:tab w:val="clear" w:pos="708"/>
                <w:tab w:val="left" w:pos="0" w:leader="none"/>
              </w:tabs>
              <w:spacing w:before="0" w:after="0"/>
              <w:jc w:val="center"/>
              <w:rPr/>
            </w:pPr>
            <w:r>
              <w:rPr>
                <w:rFonts w:eastAsia="NSimSun" w:cs="Times New Roman" w:ascii="Times New Roman" w:hAnsi="Times New Roman"/>
                <w:kern w:val="2"/>
                <w:sz w:val="20"/>
                <w:szCs w:val="20"/>
                <w:lang w:eastAsia="zh-CN" w:bidi="hi-IN"/>
              </w:rPr>
              <w:t>3</w:t>
            </w:r>
          </w:p>
        </w:tc>
        <w:tc>
          <w:tcPr>
            <w:tcW w:w="6678"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ascii="Times New Roman" w:hAnsi="Times New Roman"/>
                <w:sz w:val="20"/>
                <w:szCs w:val="20"/>
              </w:rPr>
              <w:t>Опори зовнішнього освітлення</w:t>
            </w:r>
          </w:p>
        </w:tc>
        <w:tc>
          <w:tcPr>
            <w:tcW w:w="2212"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ascii="Times New Roman" w:hAnsi="Times New Roman"/>
                <w:sz w:val="20"/>
                <w:szCs w:val="20"/>
              </w:rPr>
              <w:t>4 995 од.</w:t>
            </w:r>
          </w:p>
        </w:tc>
      </w:tr>
      <w:tr>
        <w:trPr/>
        <w:tc>
          <w:tcPr>
            <w:tcW w:w="665" w:type="dxa"/>
            <w:tcBorders>
              <w:start w:val="single" w:sz="2" w:space="0" w:color="000000"/>
              <w:bottom w:val="single" w:sz="2" w:space="0" w:color="000000"/>
            </w:tcBorders>
          </w:tcPr>
          <w:p>
            <w:pPr>
              <w:pStyle w:val="Normal"/>
              <w:widowControl w:val="false"/>
              <w:tabs>
                <w:tab w:val="clear" w:pos="708"/>
                <w:tab w:val="left" w:pos="0" w:leader="none"/>
              </w:tabs>
              <w:spacing w:before="0" w:after="0"/>
              <w:jc w:val="center"/>
              <w:rPr/>
            </w:pPr>
            <w:r>
              <w:rPr>
                <w:rFonts w:eastAsia="NSimSun" w:cs="Times New Roman" w:ascii="Times New Roman" w:hAnsi="Times New Roman"/>
                <w:kern w:val="2"/>
                <w:sz w:val="20"/>
                <w:szCs w:val="20"/>
                <w:lang w:eastAsia="zh-CN" w:bidi="hi-IN"/>
              </w:rPr>
              <w:t>4</w:t>
            </w:r>
          </w:p>
        </w:tc>
        <w:tc>
          <w:tcPr>
            <w:tcW w:w="6678"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ascii="Times New Roman" w:hAnsi="Times New Roman"/>
                <w:sz w:val="20"/>
                <w:szCs w:val="20"/>
              </w:rPr>
              <w:t>Шафи керування зовнішнім освітленням</w:t>
            </w:r>
          </w:p>
        </w:tc>
        <w:tc>
          <w:tcPr>
            <w:tcW w:w="2212"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ascii="Times New Roman" w:hAnsi="Times New Roman"/>
                <w:sz w:val="20"/>
                <w:szCs w:val="20"/>
              </w:rPr>
              <w:t>134 од.</w:t>
            </w:r>
          </w:p>
        </w:tc>
      </w:tr>
      <w:tr>
        <w:trPr/>
        <w:tc>
          <w:tcPr>
            <w:tcW w:w="665" w:type="dxa"/>
            <w:tcBorders>
              <w:start w:val="single" w:sz="2" w:space="0" w:color="000000"/>
              <w:bottom w:val="single" w:sz="2" w:space="0" w:color="000000"/>
            </w:tcBorders>
          </w:tcPr>
          <w:p>
            <w:pPr>
              <w:pStyle w:val="Normal"/>
              <w:widowControl w:val="false"/>
              <w:tabs>
                <w:tab w:val="clear" w:pos="708"/>
                <w:tab w:val="left" w:pos="0" w:leader="none"/>
              </w:tabs>
              <w:spacing w:before="0" w:after="0"/>
              <w:jc w:val="center"/>
              <w:rPr/>
            </w:pPr>
            <w:r>
              <w:rPr>
                <w:rFonts w:eastAsia="NSimSun" w:cs="Times New Roman" w:ascii="Times New Roman" w:hAnsi="Times New Roman"/>
                <w:kern w:val="2"/>
                <w:sz w:val="20"/>
                <w:szCs w:val="20"/>
                <w:lang w:eastAsia="zh-CN" w:bidi="hi-IN"/>
              </w:rPr>
              <w:t>5</w:t>
            </w:r>
          </w:p>
        </w:tc>
        <w:tc>
          <w:tcPr>
            <w:tcW w:w="6678"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Загальна протяжність мереж (повітряного розведення)</w:t>
            </w:r>
          </w:p>
        </w:tc>
        <w:tc>
          <w:tcPr>
            <w:tcW w:w="2212"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210,5 км</w:t>
            </w:r>
          </w:p>
        </w:tc>
      </w:tr>
      <w:tr>
        <w:trPr/>
        <w:tc>
          <w:tcPr>
            <w:tcW w:w="665" w:type="dxa"/>
            <w:tcBorders>
              <w:start w:val="single" w:sz="2" w:space="0" w:color="000000"/>
              <w:bottom w:val="single" w:sz="2" w:space="0" w:color="000000"/>
            </w:tcBorders>
          </w:tcPr>
          <w:p>
            <w:pPr>
              <w:pStyle w:val="Normal"/>
              <w:widowControl w:val="false"/>
              <w:tabs>
                <w:tab w:val="clear" w:pos="708"/>
                <w:tab w:val="left" w:pos="0" w:leader="none"/>
              </w:tabs>
              <w:spacing w:before="0" w:after="0"/>
              <w:jc w:val="center"/>
              <w:rPr/>
            </w:pPr>
            <w:r>
              <w:rPr>
                <w:rFonts w:eastAsia="NSimSun" w:cs="Times New Roman" w:ascii="Times New Roman" w:hAnsi="Times New Roman"/>
                <w:kern w:val="2"/>
                <w:sz w:val="20"/>
                <w:szCs w:val="20"/>
                <w:lang w:eastAsia="zh-CN" w:bidi="hi-IN"/>
              </w:rPr>
              <w:t>6</w:t>
            </w:r>
          </w:p>
        </w:tc>
        <w:tc>
          <w:tcPr>
            <w:tcW w:w="6678"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Загальна протяжність мереж (підземного розведення)</w:t>
            </w:r>
          </w:p>
        </w:tc>
        <w:tc>
          <w:tcPr>
            <w:tcW w:w="2212"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255,9 км</w:t>
            </w:r>
          </w:p>
        </w:tc>
      </w:tr>
    </w:tbl>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2.3.4. Житлові будівлі</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Стан споживання енергетичних ресурсів у Луцькій МТГ </w:t>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2.8. Споживання паливно-енергетичних ресурсів житловим фондом </w:t>
      </w:r>
    </w:p>
    <w:tbl>
      <w:tblPr>
        <w:tblW w:w="9525" w:type="dxa"/>
        <w:jc w:val="start"/>
        <w:tblInd w:w="148" w:type="dxa"/>
        <w:tblLayout w:type="fixed"/>
        <w:tblCellMar>
          <w:top w:w="0" w:type="dxa"/>
          <w:start w:w="7" w:type="dxa"/>
          <w:bottom w:w="0" w:type="dxa"/>
          <w:end w:w="10" w:type="dxa"/>
        </w:tblCellMar>
        <w:tblLook w:firstRow="1" w:noVBand="1" w:lastRow="0" w:firstColumn="1" w:lastColumn="0" w:noHBand="0" w:val="04a0"/>
      </w:tblPr>
      <w:tblGrid>
        <w:gridCol w:w="862"/>
        <w:gridCol w:w="2044"/>
        <w:gridCol w:w="2025"/>
        <w:gridCol w:w="2287"/>
        <w:gridCol w:w="2307"/>
      </w:tblGrid>
      <w:tr>
        <w:trPr>
          <w:trHeight w:val="544" w:hRule="atLeast"/>
        </w:trPr>
        <w:tc>
          <w:tcPr>
            <w:tcW w:w="862"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Роки</w:t>
            </w:r>
          </w:p>
        </w:tc>
        <w:tc>
          <w:tcPr>
            <w:tcW w:w="2044"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Теплова енергія</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тис.Гкал</w:t>
            </w:r>
          </w:p>
        </w:tc>
        <w:tc>
          <w:tcPr>
            <w:tcW w:w="2025"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Газопостачання</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тис.м</w:t>
            </w:r>
            <w:r>
              <w:rPr>
                <w:rFonts w:eastAsia="Microsoft Sans Serif" w:cs="Times New Roman" w:ascii="Times New Roman" w:hAnsi="Times New Roman"/>
                <w:kern w:val="2"/>
                <w:sz w:val="20"/>
                <w:szCs w:val="20"/>
                <w:vertAlign w:val="superscript"/>
              </w:rPr>
              <w:t>3</w:t>
            </w:r>
          </w:p>
        </w:tc>
        <w:tc>
          <w:tcPr>
            <w:tcW w:w="2287"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*Електропостачання</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тис.МВт.год</w:t>
            </w:r>
          </w:p>
        </w:tc>
        <w:tc>
          <w:tcPr>
            <w:tcW w:w="230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Деревина, тис.т</w:t>
            </w:r>
          </w:p>
        </w:tc>
      </w:tr>
      <w:tr>
        <w:trPr>
          <w:trHeight w:val="272"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2017</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371,9</w:t>
            </w:r>
          </w:p>
        </w:tc>
        <w:tc>
          <w:tcPr>
            <w:tcW w:w="2025"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80439,7</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153,9</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16,2</w:t>
            </w:r>
          </w:p>
        </w:tc>
      </w:tr>
      <w:tr>
        <w:trPr>
          <w:trHeight w:val="270"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2018</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390,7</w:t>
            </w:r>
          </w:p>
        </w:tc>
        <w:tc>
          <w:tcPr>
            <w:tcW w:w="2025"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74280,3</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136,4</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16,7</w:t>
            </w:r>
          </w:p>
        </w:tc>
      </w:tr>
      <w:tr>
        <w:trPr>
          <w:trHeight w:val="272"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2019</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296,4</w:t>
            </w:r>
          </w:p>
        </w:tc>
        <w:tc>
          <w:tcPr>
            <w:tcW w:w="2025"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62328,1</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138,9</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17,2</w:t>
            </w:r>
          </w:p>
        </w:tc>
      </w:tr>
      <w:tr>
        <w:trPr>
          <w:trHeight w:val="270"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2020</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309,8</w:t>
            </w:r>
          </w:p>
        </w:tc>
        <w:tc>
          <w:tcPr>
            <w:tcW w:w="2025"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67640,0</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215,3</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17,7</w:t>
            </w:r>
          </w:p>
        </w:tc>
      </w:tr>
      <w:tr>
        <w:trPr>
          <w:trHeight w:val="272"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2021</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318,9</w:t>
            </w:r>
          </w:p>
        </w:tc>
        <w:tc>
          <w:tcPr>
            <w:tcW w:w="2025"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70326,5</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233,6</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17,8</w:t>
            </w:r>
          </w:p>
        </w:tc>
      </w:tr>
      <w:tr>
        <w:trPr>
          <w:trHeight w:val="270"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2022</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258,9</w:t>
            </w:r>
          </w:p>
        </w:tc>
        <w:tc>
          <w:tcPr>
            <w:tcW w:w="2025"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69999,3</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228,8</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17,8</w:t>
            </w:r>
          </w:p>
        </w:tc>
      </w:tr>
      <w:tr>
        <w:trPr>
          <w:trHeight w:val="298"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2023</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256,1</w:t>
            </w:r>
          </w:p>
        </w:tc>
        <w:tc>
          <w:tcPr>
            <w:tcW w:w="2025" w:type="dxa"/>
            <w:tcBorders>
              <w:start w:val="single" w:sz="2" w:space="0" w:color="000000"/>
              <w:bottom w:val="single" w:sz="2" w:space="0" w:color="000000"/>
            </w:tcBorders>
            <w:shd w:color="auto" w:fill="FFFFFF" w:val="clear"/>
          </w:tcPr>
          <w:p>
            <w:pPr>
              <w:pStyle w:val="Style25"/>
              <w:spacing w:before="0" w:after="0"/>
              <w:jc w:val="center"/>
              <w:rPr/>
            </w:pPr>
            <w:r>
              <w:rPr>
                <w:rFonts w:ascii="Times New Roman" w:hAnsi="Times New Roman"/>
                <w:color w:val="000000"/>
                <w:sz w:val="20"/>
                <w:szCs w:val="20"/>
              </w:rPr>
              <w:t>70923,9</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150,1</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17,9</w:t>
            </w:r>
          </w:p>
        </w:tc>
      </w:tr>
      <w:tr>
        <w:trPr>
          <w:trHeight w:val="298" w:hRule="atLeast"/>
        </w:trPr>
        <w:tc>
          <w:tcPr>
            <w:tcW w:w="862"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2024</w:t>
            </w:r>
          </w:p>
        </w:tc>
        <w:tc>
          <w:tcPr>
            <w:tcW w:w="2044"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261,5</w:t>
            </w:r>
          </w:p>
        </w:tc>
        <w:tc>
          <w:tcPr>
            <w:tcW w:w="2025" w:type="dxa"/>
            <w:tcBorders>
              <w:start w:val="single" w:sz="2" w:space="0" w:color="000000"/>
              <w:bottom w:val="single" w:sz="2" w:space="0" w:color="000000"/>
            </w:tcBorders>
            <w:shd w:color="auto" w:fill="FFFFFF" w:val="clear"/>
          </w:tcPr>
          <w:p>
            <w:pPr>
              <w:pStyle w:val="Style25"/>
              <w:spacing w:before="0" w:after="0"/>
              <w:jc w:val="center"/>
              <w:rPr/>
            </w:pPr>
            <w:r>
              <w:rPr>
                <w:rFonts w:ascii="Times New Roman" w:hAnsi="Times New Roman"/>
                <w:sz w:val="20"/>
                <w:szCs w:val="20"/>
              </w:rPr>
              <w:t>68462,5</w:t>
            </w:r>
          </w:p>
        </w:tc>
        <w:tc>
          <w:tcPr>
            <w:tcW w:w="22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147,2</w:t>
            </w:r>
          </w:p>
        </w:tc>
        <w:tc>
          <w:tcPr>
            <w:tcW w:w="230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ascii="Times New Roman" w:hAnsi="Times New Roman"/>
                <w:sz w:val="20"/>
                <w:szCs w:val="20"/>
              </w:rPr>
              <w:t>18,3</w:t>
            </w:r>
          </w:p>
        </w:tc>
      </w:tr>
    </w:tbl>
    <w:p>
      <w:pPr>
        <w:pStyle w:val="Normal"/>
        <w:spacing w:before="0" w:after="0"/>
        <w:ind w:start="113"/>
        <w:rPr/>
      </w:pPr>
      <w:r>
        <w:rPr>
          <w:rFonts w:eastAsia="NSimSun" w:cs="Times New Roman" w:ascii="Times New Roman" w:hAnsi="Times New Roman"/>
          <w:color w:val="000000"/>
          <w:kern w:val="2"/>
          <w:sz w:val="16"/>
          <w:szCs w:val="16"/>
          <w:lang w:eastAsia="zh-CN" w:bidi="hi-IN"/>
        </w:rPr>
        <w:t xml:space="preserve">* Без споживання з власних джерел ВДЕ (детальніше підрозділ Д2.3.13. </w:t>
      </w:r>
      <w:r>
        <w:rPr>
          <w:rFonts w:eastAsia="NSimSun" w:cs="Times New Roman" w:ascii="Times New Roman" w:hAnsi="Times New Roman"/>
          <w:color w:val="000000"/>
          <w:kern w:val="2"/>
          <w:sz w:val="16"/>
          <w:szCs w:val="16"/>
          <w:shd w:fill="FFFFFF" w:val="clear"/>
          <w:lang w:eastAsia="zh-CN" w:bidi="hi-IN"/>
        </w:rPr>
        <w:t xml:space="preserve">у </w:t>
      </w:r>
      <w:r>
        <w:rPr>
          <w:rFonts w:eastAsia="NSimSun" w:cs="Times New Roman" w:ascii="Times New Roman" w:hAnsi="Times New Roman"/>
          <w:color w:val="000000"/>
          <w:kern w:val="2"/>
          <w:sz w:val="16"/>
          <w:szCs w:val="16"/>
          <w:lang w:eastAsia="zh-CN" w:bidi="hi-IN"/>
        </w:rPr>
        <w:t>додаток 2).</w:t>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567"/>
        <w:jc w:val="center"/>
        <w:rPr>
          <w:rFonts w:ascii="Times New Roman" w:hAnsi="Times New Roman" w:cs="Times New Roman"/>
          <w:sz w:val="24"/>
          <w:szCs w:val="24"/>
        </w:rPr>
      </w:pPr>
      <w:r>
        <w:rPr>
          <w:rFonts w:cs="Times New Roman" w:ascii="Times New Roman" w:hAnsi="Times New Roman"/>
          <w:sz w:val="24"/>
          <w:szCs w:val="24"/>
        </w:rPr>
        <w:drawing>
          <wp:anchor behindDoc="0" distT="0" distB="0" distL="0" distR="0" simplePos="0" locked="0" layoutInCell="0" allowOverlap="1" relativeHeight="51">
            <wp:simplePos x="0" y="0"/>
            <wp:positionH relativeFrom="column">
              <wp:posOffset>603250</wp:posOffset>
            </wp:positionH>
            <wp:positionV relativeFrom="paragraph">
              <wp:posOffset>171450</wp:posOffset>
            </wp:positionV>
            <wp:extent cx="4855845" cy="1938020"/>
            <wp:effectExtent l="0" t="0" r="0" b="0"/>
            <wp:wrapSquare wrapText="largest"/>
            <wp:docPr id="8" name="Об'єкт9"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Normal"/>
        <w:spacing w:before="0" w:after="0"/>
        <w:ind w:firstLine="567"/>
        <w:jc w:val="center"/>
        <w:rPr/>
      </w:pPr>
      <w:r>
        <w:rPr/>
      </w:r>
    </w:p>
    <w:p>
      <w:pPr>
        <w:pStyle w:val="Normal"/>
        <w:spacing w:before="0" w:after="0"/>
        <w:ind w:firstLine="567"/>
        <w:jc w:val="center"/>
        <w:rPr/>
      </w:pPr>
      <w:r>
        <w:rPr/>
      </w:r>
    </w:p>
    <w:p>
      <w:pPr>
        <w:pStyle w:val="Normal"/>
        <w:spacing w:before="0" w:after="0"/>
        <w:ind w:firstLine="567"/>
        <w:jc w:val="center"/>
        <w:rPr>
          <w:color w:val="000000"/>
        </w:rPr>
      </w:pPr>
      <w:r>
        <w:rPr>
          <w:rFonts w:eastAsia="NSimSun" w:cs="Times New Roman" w:ascii="Times New Roman" w:hAnsi="Times New Roman"/>
          <w:color w:val="000000"/>
          <w:kern w:val="2"/>
          <w:sz w:val="24"/>
          <w:szCs w:val="24"/>
          <w:shd w:fill="FFFFFF" w:val="clear"/>
          <w:lang w:eastAsia="zh-CN" w:bidi="hi-IN"/>
        </w:rPr>
        <w:t xml:space="preserve">Рисунок 2.6. Споживання енергоресурсів житловим фондом, </w:t>
      </w:r>
      <w:r>
        <w:rPr>
          <w:rFonts w:eastAsia="Microsoft Sans Serif" w:cs="Times New Roman" w:ascii="Times New Roman" w:hAnsi="Times New Roman"/>
          <w:color w:val="000000"/>
          <w:kern w:val="2"/>
          <w:sz w:val="24"/>
          <w:szCs w:val="24"/>
          <w:shd w:fill="FFFFFF" w:val="clear"/>
          <w:lang w:eastAsia="zh-CN" w:bidi="hi-IN"/>
        </w:rPr>
        <w:t>МВт∙год</w:t>
      </w:r>
    </w:p>
    <w:p>
      <w:pPr>
        <w:pStyle w:val="Normal"/>
        <w:spacing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2.3.5. Сфера теплопостачання</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Надання послуг централізованого постачання тепла та централізованого постачання гарячої води в м. Луцьку здійснює державне комунальне підприємство «Луцьктепло» (ДКП «Луцьктепло»). </w:t>
      </w:r>
    </w:p>
    <w:p>
      <w:pPr>
        <w:pStyle w:val="Normal"/>
        <w:tabs>
          <w:tab w:val="clear" w:pos="708"/>
          <w:tab w:val="left" w:pos="2925" w:leader="none"/>
        </w:tabs>
        <w:spacing w:before="0" w:after="0"/>
        <w:jc w:val="center"/>
        <w:rPr/>
      </w:pPr>
      <w:r>
        <w:rPr>
          <w:rFonts w:eastAsia="NSimSun" w:cs="Times New Roman" w:ascii="Times New Roman" w:hAnsi="Times New Roman"/>
          <w:kern w:val="2"/>
          <w:sz w:val="24"/>
          <w:szCs w:val="24"/>
          <w:lang w:eastAsia="zh-CN" w:bidi="hi-IN"/>
        </w:rPr>
        <w:t>Таблиця 2.9. Інформація щодо характеристик мережі теплопостачання станом на 01.01.2025</w:t>
      </w:r>
    </w:p>
    <w:tbl>
      <w:tblPr>
        <w:tblW w:w="9465" w:type="dxa"/>
        <w:jc w:val="start"/>
        <w:tblInd w:w="187" w:type="dxa"/>
        <w:tblLayout w:type="fixed"/>
        <w:tblCellMar>
          <w:top w:w="0" w:type="dxa"/>
          <w:start w:w="108" w:type="dxa"/>
          <w:bottom w:w="0" w:type="dxa"/>
          <w:end w:w="108" w:type="dxa"/>
        </w:tblCellMar>
        <w:tblLook w:firstRow="1" w:noVBand="1" w:lastRow="0" w:firstColumn="1" w:lastColumn="0" w:noHBand="0" w:val="04a0"/>
      </w:tblPr>
      <w:tblGrid>
        <w:gridCol w:w="4836"/>
        <w:gridCol w:w="4628"/>
      </w:tblGrid>
      <w:tr>
        <w:trPr/>
        <w:tc>
          <w:tcPr>
            <w:tcW w:w="4836" w:type="dxa"/>
            <w:tcBorders>
              <w:top w:val="single" w:sz="2" w:space="0" w:color="000000"/>
              <w:start w:val="single" w:sz="2" w:space="0" w:color="000000"/>
              <w:bottom w:val="single" w:sz="2" w:space="0" w:color="000000"/>
            </w:tcBorders>
          </w:tcPr>
          <w:p>
            <w:pPr>
              <w:pStyle w:val="Normal"/>
              <w:spacing w:before="0" w:after="0"/>
              <w:jc w:val="center"/>
              <w:rPr/>
            </w:pPr>
            <w:r>
              <w:rPr>
                <w:rFonts w:ascii="Times New Roman" w:hAnsi="Times New Roman"/>
                <w:color w:val="000000"/>
                <w:sz w:val="20"/>
                <w:szCs w:val="20"/>
              </w:rPr>
              <w:t>Характеристики</w:t>
            </w:r>
          </w:p>
        </w:tc>
        <w:tc>
          <w:tcPr>
            <w:tcW w:w="4628" w:type="dxa"/>
            <w:tcBorders>
              <w:top w:val="single" w:sz="4" w:space="0" w:color="000000"/>
              <w:start w:val="single" w:sz="4" w:space="0" w:color="000000"/>
              <w:bottom w:val="single" w:sz="4" w:space="0" w:color="000000"/>
              <w:end w:val="single" w:sz="4" w:space="0" w:color="000000"/>
            </w:tcBorders>
            <w:tcMar>
              <w:top w:w="55" w:type="dxa"/>
              <w:bottom w:w="55" w:type="dxa"/>
            </w:tcMar>
          </w:tcPr>
          <w:p>
            <w:pPr>
              <w:pStyle w:val="Normal"/>
              <w:widowControl w:val="false"/>
              <w:spacing w:lineRule="auto" w:line="240" w:before="0" w:after="0"/>
              <w:jc w:val="center"/>
              <w:rPr/>
            </w:pPr>
            <w:r>
              <w:rPr>
                <w:rFonts w:cs="Times New Roman" w:ascii="Times New Roman" w:hAnsi="Times New Roman"/>
                <w:color w:val="000000"/>
                <w:kern w:val="2"/>
                <w:sz w:val="20"/>
                <w:szCs w:val="20"/>
                <w:lang w:bidi="hi-IN"/>
              </w:rPr>
              <w:t>Загальна довжина</w:t>
            </w:r>
          </w:p>
        </w:tc>
      </w:tr>
      <w:tr>
        <w:trPr/>
        <w:tc>
          <w:tcPr>
            <w:tcW w:w="4836" w:type="dxa"/>
            <w:tcBorders>
              <w:start w:val="single" w:sz="2" w:space="0" w:color="000000"/>
              <w:bottom w:val="single" w:sz="2" w:space="0" w:color="000000"/>
            </w:tcBorders>
          </w:tcPr>
          <w:p>
            <w:pPr>
              <w:pStyle w:val="Normal"/>
              <w:widowControl w:val="false"/>
              <w:spacing w:lineRule="auto" w:line="240" w:before="0" w:after="0"/>
              <w:rPr/>
            </w:pPr>
            <w:r>
              <w:rPr>
                <w:rFonts w:cs="Times New Roman" w:ascii="Times New Roman" w:hAnsi="Times New Roman"/>
                <w:color w:val="000000"/>
                <w:kern w:val="2"/>
                <w:sz w:val="20"/>
                <w:szCs w:val="20"/>
                <w:lang w:bidi="hi-IN"/>
              </w:rPr>
              <w:t>Загальна довжина трубопроводів, км</w:t>
            </w:r>
          </w:p>
        </w:tc>
        <w:tc>
          <w:tcPr>
            <w:tcW w:w="4628" w:type="dxa"/>
            <w:tcBorders>
              <w:start w:val="single" w:sz="4" w:space="0" w:color="000000"/>
              <w:bottom w:val="single" w:sz="4" w:space="0" w:color="000000"/>
              <w:end w:val="single" w:sz="4" w:space="0" w:color="000000"/>
            </w:tcBorders>
            <w:tcMar>
              <w:top w:w="55" w:type="dxa"/>
              <w:bottom w:w="55" w:type="dxa"/>
            </w:tcMar>
          </w:tcPr>
          <w:p>
            <w:pPr>
              <w:pStyle w:val="Normal"/>
              <w:widowControl w:val="false"/>
              <w:suppressAutoHyphens w:val="false"/>
              <w:spacing w:lineRule="auto" w:line="240" w:before="0" w:after="0"/>
              <w:jc w:val="center"/>
              <w:rPr/>
            </w:pPr>
            <w:r>
              <w:rPr>
                <w:rFonts w:cs="Times New Roman" w:ascii="Times New Roman" w:hAnsi="Times New Roman"/>
                <w:color w:val="000000"/>
                <w:kern w:val="2"/>
                <w:sz w:val="20"/>
                <w:szCs w:val="20"/>
                <w:lang w:bidi="hi-IN"/>
              </w:rPr>
              <w:t>131</w:t>
            </w:r>
          </w:p>
        </w:tc>
      </w:tr>
      <w:tr>
        <w:trPr/>
        <w:tc>
          <w:tcPr>
            <w:tcW w:w="4836" w:type="dxa"/>
            <w:tcBorders>
              <w:start w:val="single" w:sz="2" w:space="0" w:color="000000"/>
              <w:bottom w:val="single" w:sz="4" w:space="0" w:color="000000"/>
            </w:tcBorders>
          </w:tcPr>
          <w:p>
            <w:pPr>
              <w:pStyle w:val="Normal"/>
              <w:widowControl w:val="false"/>
              <w:spacing w:lineRule="auto" w:line="240" w:before="0" w:after="0"/>
              <w:rPr/>
            </w:pPr>
            <w:r>
              <w:rPr>
                <w:rFonts w:cs="Times New Roman" w:ascii="Times New Roman" w:hAnsi="Times New Roman"/>
                <w:color w:val="000000"/>
                <w:kern w:val="2"/>
                <w:sz w:val="20"/>
                <w:szCs w:val="20"/>
                <w:lang w:bidi="hi-IN"/>
              </w:rPr>
              <w:t>Довжина магістральних трубопроводів, км</w:t>
            </w:r>
          </w:p>
        </w:tc>
        <w:tc>
          <w:tcPr>
            <w:tcW w:w="4628" w:type="dxa"/>
            <w:tcBorders>
              <w:start w:val="single" w:sz="4" w:space="0" w:color="000000"/>
              <w:bottom w:val="single" w:sz="4" w:space="0" w:color="000000"/>
              <w:end w:val="single" w:sz="4" w:space="0" w:color="000000"/>
            </w:tcBorders>
            <w:tcMar>
              <w:top w:w="55" w:type="dxa"/>
              <w:bottom w:w="55" w:type="dxa"/>
            </w:tcMar>
          </w:tcPr>
          <w:p>
            <w:pPr>
              <w:pStyle w:val="Normal"/>
              <w:widowControl w:val="false"/>
              <w:spacing w:lineRule="auto" w:line="240" w:before="0" w:after="0"/>
              <w:jc w:val="center"/>
              <w:rPr/>
            </w:pPr>
            <w:r>
              <w:rPr>
                <w:rFonts w:cs="Times New Roman" w:ascii="Times New Roman" w:hAnsi="Times New Roman"/>
                <w:color w:val="000000"/>
                <w:kern w:val="2"/>
                <w:sz w:val="20"/>
                <w:szCs w:val="20"/>
                <w:lang w:bidi="hi-IN"/>
              </w:rPr>
              <w:t>3</w:t>
            </w:r>
          </w:p>
        </w:tc>
      </w:tr>
      <w:tr>
        <w:trPr/>
        <w:tc>
          <w:tcPr>
            <w:tcW w:w="48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kern w:val="2"/>
                <w:sz w:val="20"/>
                <w:szCs w:val="20"/>
                <w:lang w:bidi="hi-IN"/>
              </w:rPr>
              <w:t>Довжина розподільчих трубопроводів, км</w:t>
            </w:r>
          </w:p>
        </w:tc>
        <w:tc>
          <w:tcPr>
            <w:tcW w:w="4628" w:type="dxa"/>
            <w:tcBorders>
              <w:start w:val="single" w:sz="4" w:space="0" w:color="000000"/>
              <w:bottom w:val="single" w:sz="4" w:space="0" w:color="000000"/>
              <w:end w:val="single" w:sz="4" w:space="0" w:color="000000"/>
            </w:tcBorders>
            <w:tcMar>
              <w:top w:w="55" w:type="dxa"/>
              <w:bottom w:w="55" w:type="dxa"/>
            </w:tcMar>
          </w:tcPr>
          <w:p>
            <w:pPr>
              <w:pStyle w:val="Normal"/>
              <w:widowControl w:val="false"/>
              <w:spacing w:lineRule="auto" w:line="240" w:before="0" w:after="0"/>
              <w:jc w:val="center"/>
              <w:rPr/>
            </w:pPr>
            <w:r>
              <w:rPr>
                <w:rFonts w:cs="Times New Roman" w:ascii="Times New Roman" w:hAnsi="Times New Roman"/>
                <w:color w:val="000000"/>
                <w:kern w:val="2"/>
                <w:sz w:val="20"/>
                <w:szCs w:val="20"/>
                <w:lang w:bidi="hi-IN"/>
              </w:rPr>
              <w:t>128</w:t>
            </w:r>
          </w:p>
        </w:tc>
      </w:tr>
    </w:tbl>
    <w:p>
      <w:pPr>
        <w:pStyle w:val="Normal"/>
        <w:spacing w:before="0" w:after="0"/>
        <w:ind w:firstLine="567"/>
        <w:jc w:val="both"/>
        <w:rPr>
          <w:strike/>
        </w:rPr>
      </w:pPr>
      <w:r>
        <w:rPr>
          <w:strike/>
        </w:rPr>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2.10. Кількість виробленої теплової енергії </w:t>
      </w:r>
    </w:p>
    <w:tbl>
      <w:tblPr>
        <w:tblW w:w="9570" w:type="dxa"/>
        <w:jc w:val="start"/>
        <w:tblInd w:w="9" w:type="dxa"/>
        <w:tblLayout w:type="fixed"/>
        <w:tblCellMar>
          <w:top w:w="0" w:type="dxa"/>
          <w:start w:w="10" w:type="dxa"/>
          <w:bottom w:w="0" w:type="dxa"/>
          <w:end w:w="10" w:type="dxa"/>
        </w:tblCellMar>
        <w:tblLook w:firstRow="1" w:noVBand="1" w:lastRow="0" w:firstColumn="1" w:lastColumn="0" w:noHBand="0" w:val="04a0"/>
      </w:tblPr>
      <w:tblGrid>
        <w:gridCol w:w="2955"/>
        <w:gridCol w:w="827"/>
        <w:gridCol w:w="825"/>
        <w:gridCol w:w="827"/>
        <w:gridCol w:w="827"/>
        <w:gridCol w:w="829"/>
        <w:gridCol w:w="833"/>
        <w:gridCol w:w="823"/>
        <w:gridCol w:w="823"/>
      </w:tblGrid>
      <w:tr>
        <w:trPr/>
        <w:tc>
          <w:tcPr>
            <w:tcW w:w="2955" w:type="dxa"/>
            <w:vMerge w:val="restart"/>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Параметр</w:t>
            </w:r>
          </w:p>
        </w:tc>
        <w:tc>
          <w:tcPr>
            <w:tcW w:w="6614" w:type="dxa"/>
            <w:gridSpan w:val="8"/>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Роки</w:t>
            </w:r>
          </w:p>
        </w:tc>
      </w:tr>
      <w:tr>
        <w:trPr/>
        <w:tc>
          <w:tcPr>
            <w:tcW w:w="2955" w:type="dxa"/>
            <w:vMerge w:val="continue"/>
            <w:tcBorders>
              <w:start w:val="single" w:sz="8" w:space="0" w:color="000000"/>
              <w:bottom w:val="single" w:sz="4" w:space="0" w:color="000000"/>
              <w:end w:val="single" w:sz="8"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827"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2017</w:t>
            </w:r>
          </w:p>
        </w:tc>
        <w:tc>
          <w:tcPr>
            <w:tcW w:w="825"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2018</w:t>
            </w:r>
          </w:p>
        </w:tc>
        <w:tc>
          <w:tcPr>
            <w:tcW w:w="827"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2019</w:t>
            </w:r>
          </w:p>
        </w:tc>
        <w:tc>
          <w:tcPr>
            <w:tcW w:w="827"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2020</w:t>
            </w:r>
          </w:p>
        </w:tc>
        <w:tc>
          <w:tcPr>
            <w:tcW w:w="829"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2021</w:t>
            </w:r>
          </w:p>
        </w:tc>
        <w:tc>
          <w:tcPr>
            <w:tcW w:w="833"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2022</w:t>
            </w:r>
          </w:p>
        </w:tc>
        <w:tc>
          <w:tcPr>
            <w:tcW w:w="823"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2023</w:t>
            </w:r>
          </w:p>
        </w:tc>
        <w:tc>
          <w:tcPr>
            <w:tcW w:w="823"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ascii="Times New Roman" w:hAnsi="Times New Roman"/>
                <w:sz w:val="20"/>
                <w:szCs w:val="20"/>
              </w:rPr>
              <w:t>2024</w:t>
            </w:r>
          </w:p>
        </w:tc>
      </w:tr>
      <w:tr>
        <w:trPr>
          <w:trHeight w:val="369" w:hRule="atLeast"/>
        </w:trPr>
        <w:tc>
          <w:tcPr>
            <w:tcW w:w="295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Виробництво теплової енергії, тис. Гкал</w:t>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516,3</w:t>
            </w:r>
          </w:p>
        </w:tc>
        <w:tc>
          <w:tcPr>
            <w:tcW w:w="8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503,3</w:t>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474,6</w:t>
            </w:r>
          </w:p>
        </w:tc>
        <w:tc>
          <w:tcPr>
            <w:tcW w:w="82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475,9</w:t>
            </w:r>
          </w:p>
        </w:tc>
        <w:tc>
          <w:tcPr>
            <w:tcW w:w="82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467,7</w:t>
            </w:r>
          </w:p>
        </w:tc>
        <w:tc>
          <w:tcPr>
            <w:tcW w:w="83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401,1</w:t>
            </w:r>
          </w:p>
        </w:tc>
        <w:tc>
          <w:tcPr>
            <w:tcW w:w="82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405,4</w:t>
            </w:r>
          </w:p>
        </w:tc>
        <w:tc>
          <w:tcPr>
            <w:tcW w:w="82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410,2</w:t>
            </w:r>
          </w:p>
        </w:tc>
      </w:tr>
    </w:tbl>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 xml:space="preserve">Кількість виробленої теплової енергії підприємством ДКП «Луцьктепло» протягом останніх років має тенденцію до зменшення. </w:t>
      </w:r>
    </w:p>
    <w:p>
      <w:pPr>
        <w:pStyle w:val="Normal"/>
        <w:spacing w:before="0" w:after="0"/>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50">
            <wp:simplePos x="0" y="0"/>
            <wp:positionH relativeFrom="column">
              <wp:posOffset>1099820</wp:posOffset>
            </wp:positionH>
            <wp:positionV relativeFrom="paragraph">
              <wp:posOffset>102235</wp:posOffset>
            </wp:positionV>
            <wp:extent cx="4127500" cy="2188210"/>
            <wp:effectExtent l="0" t="0" r="0" b="0"/>
            <wp:wrapSquare wrapText="largest"/>
            <wp:docPr id="9" name="Об'єкт20"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pPr>
      <w:r>
        <w:rPr>
          <w:rFonts w:eastAsia="NSimSun" w:cs="Times New Roman" w:ascii="Times New Roman" w:hAnsi="Times New Roman"/>
          <w:kern w:val="2"/>
          <w:sz w:val="24"/>
          <w:szCs w:val="24"/>
          <w:lang w:eastAsia="zh-CN" w:bidi="hi-IN"/>
        </w:rPr>
        <w:t>Рисунок 2.7. Споживання теплової енергії основними категоріями споживачів, тис.Гкал</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49">
            <wp:simplePos x="0" y="0"/>
            <wp:positionH relativeFrom="column">
              <wp:align>center</wp:align>
            </wp:positionH>
            <wp:positionV relativeFrom="paragraph">
              <wp:posOffset>635</wp:posOffset>
            </wp:positionV>
            <wp:extent cx="3903980" cy="2196465"/>
            <wp:effectExtent l="0" t="0" r="0" b="0"/>
            <wp:wrapSquare wrapText="largest"/>
            <wp:docPr id="10" name="Об'єкт29"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pPr>
      <w:r>
        <w:rPr>
          <w:rFonts w:eastAsia="NSimSun" w:cs="Times New Roman" w:ascii="Times New Roman" w:hAnsi="Times New Roman"/>
          <w:color w:val="000000"/>
          <w:kern w:val="2"/>
          <w:sz w:val="24"/>
          <w:szCs w:val="24"/>
          <w:lang w:eastAsia="zh-CN" w:bidi="hi-IN"/>
        </w:rPr>
        <w:t>Рисунок 2.8. Показники витрат енергоресурсів на виробництво теплової енергії, тис.</w:t>
      </w:r>
      <w:r>
        <w:rPr>
          <w:rFonts w:eastAsia="Microsoft Sans Serif" w:cs="Times New Roman" w:ascii="Times New Roman" w:hAnsi="Times New Roman"/>
          <w:color w:val="000000"/>
          <w:kern w:val="2"/>
          <w:sz w:val="24"/>
          <w:szCs w:val="24"/>
          <w:shd w:fill="FFFFFF" w:val="clear"/>
          <w:lang w:eastAsia="zh-CN" w:bidi="hi-IN"/>
        </w:rPr>
        <w:t>МВт∙год</w:t>
      </w:r>
    </w:p>
    <w:p>
      <w:pPr>
        <w:pStyle w:val="Normal"/>
        <w:spacing w:before="0" w:after="0"/>
        <w:ind w:firstLine="510"/>
        <w:jc w:val="both"/>
        <w:rPr>
          <w:rFonts w:eastAsia="NSimSun" w:cs="Times New Roman"/>
          <w:b/>
          <w:color w:val="000000"/>
          <w:kern w:val="2"/>
          <w:lang w:eastAsia="zh-CN" w:bidi="hi-IN"/>
        </w:rPr>
      </w:pPr>
      <w:r>
        <w:rPr>
          <w:rFonts w:eastAsia="NSimSun" w:cs="Times New Roman"/>
          <w:b/>
          <w:color w:val="000000"/>
          <w:kern w:val="2"/>
          <w:lang w:eastAsia="zh-CN" w:bidi="hi-IN"/>
        </w:rPr>
      </w:r>
    </w:p>
    <w:p>
      <w:pPr>
        <w:pStyle w:val="Normal"/>
        <w:spacing w:lineRule="auto" w:line="240" w:before="0" w:after="0"/>
        <w:ind w:firstLine="567"/>
        <w:jc w:val="both"/>
        <w:rPr/>
      </w:pPr>
      <w:r>
        <w:rPr>
          <w:rFonts w:eastAsia="NSimSun" w:cs="Times New Roman" w:ascii="Times New Roman" w:hAnsi="Times New Roman"/>
          <w:b/>
          <w:color w:val="000000"/>
          <w:kern w:val="2"/>
          <w:sz w:val="24"/>
          <w:szCs w:val="24"/>
          <w:lang w:eastAsia="zh-CN" w:bidi="hi-IN"/>
        </w:rPr>
        <w:t>2.3.6. Розподіл та постачання природного газу</w:t>
      </w:r>
    </w:p>
    <w:p>
      <w:pPr>
        <w:pStyle w:val="Normal"/>
        <w:spacing w:lineRule="auto" w:line="240" w:before="0" w:after="0"/>
        <w:ind w:firstLine="567"/>
        <w:jc w:val="both"/>
        <w:rPr/>
      </w:pPr>
      <w:r>
        <w:rPr>
          <w:rFonts w:eastAsia="NSimSun" w:cs="Times New Roman" w:ascii="Times New Roman" w:hAnsi="Times New Roman"/>
          <w:color w:val="000000"/>
          <w:kern w:val="2"/>
          <w:sz w:val="24"/>
          <w:szCs w:val="24"/>
          <w:lang w:eastAsia="zh-CN" w:bidi="hi-IN"/>
        </w:rPr>
        <w:t xml:space="preserve">У 2025 році послуги транспортування та розподілу природного газу в Волинській МТГ надається Волинською філією ТОВ «Газорозподільчі мережі України». </w:t>
      </w:r>
    </w:p>
    <w:p>
      <w:pPr>
        <w:pStyle w:val="Normal"/>
        <w:spacing w:lineRule="auto" w:line="240" w:before="0" w:after="0"/>
        <w:ind w:firstLine="567"/>
        <w:jc w:val="both"/>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lineRule="auto" w:line="240" w:before="0" w:after="0"/>
        <w:jc w:val="center"/>
        <w:rPr/>
      </w:pPr>
      <w:r>
        <w:rPr>
          <w:rFonts w:eastAsia="NSimSun" w:cs="Times New Roman" w:ascii="Times New Roman" w:hAnsi="Times New Roman"/>
          <w:color w:val="000000"/>
          <w:kern w:val="2"/>
          <w:sz w:val="24"/>
          <w:szCs w:val="24"/>
          <w:lang w:eastAsia="zh-CN" w:bidi="hi-IN"/>
        </w:rPr>
        <w:t>Таблиця 2.11. Споживання природного газу споживачами Луцької МТГ, тис.м</w:t>
      </w:r>
      <w:r>
        <w:rPr>
          <w:rFonts w:eastAsia="NSimSun" w:cs="Times New Roman" w:ascii="Times New Roman" w:hAnsi="Times New Roman"/>
          <w:color w:val="000000"/>
          <w:kern w:val="2"/>
          <w:sz w:val="24"/>
          <w:szCs w:val="24"/>
          <w:vertAlign w:val="superscript"/>
          <w:lang w:eastAsia="zh-CN" w:bidi="hi-IN"/>
        </w:rPr>
        <w:t>3</w:t>
      </w:r>
      <w:r>
        <w:rPr>
          <w:rFonts w:eastAsia="NSimSun" w:cs="Times New Roman" w:ascii="Times New Roman" w:hAnsi="Times New Roman"/>
          <w:color w:val="000000"/>
          <w:kern w:val="2"/>
          <w:sz w:val="24"/>
          <w:szCs w:val="24"/>
          <w:lang w:eastAsia="zh-CN" w:bidi="hi-IN"/>
        </w:rPr>
        <w:t xml:space="preserve"> </w:t>
      </w:r>
    </w:p>
    <w:tbl>
      <w:tblPr>
        <w:tblW w:w="9675" w:type="dxa"/>
        <w:jc w:val="start"/>
        <w:tblInd w:w="25" w:type="dxa"/>
        <w:tblLayout w:type="fixed"/>
        <w:tblCellMar>
          <w:top w:w="55" w:type="dxa"/>
          <w:start w:w="55" w:type="dxa"/>
          <w:bottom w:w="55" w:type="dxa"/>
          <w:end w:w="55" w:type="dxa"/>
        </w:tblCellMar>
        <w:tblLook w:firstRow="1" w:noVBand="1" w:lastRow="0" w:firstColumn="1" w:lastColumn="0" w:noHBand="0" w:val="04a0"/>
      </w:tblPr>
      <w:tblGrid>
        <w:gridCol w:w="345"/>
        <w:gridCol w:w="1875"/>
        <w:gridCol w:w="981"/>
        <w:gridCol w:w="980"/>
        <w:gridCol w:w="981"/>
        <w:gridCol w:w="881"/>
        <w:gridCol w:w="882"/>
        <w:gridCol w:w="880"/>
        <w:gridCol w:w="981"/>
        <w:gridCol w:w="888"/>
      </w:tblGrid>
      <w:tr>
        <w:trPr/>
        <w:tc>
          <w:tcPr>
            <w:tcW w:w="345"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w:t>
            </w:r>
          </w:p>
        </w:tc>
        <w:tc>
          <w:tcPr>
            <w:tcW w:w="1875"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Напрями постачання природного газу</w:t>
            </w:r>
          </w:p>
        </w:tc>
        <w:tc>
          <w:tcPr>
            <w:tcW w:w="9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98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9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8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882"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88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9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88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34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1</w:t>
            </w:r>
          </w:p>
        </w:tc>
        <w:tc>
          <w:tcPr>
            <w:tcW w:w="1875"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Бюджетний сектор</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3903,29</w:t>
            </w:r>
          </w:p>
        </w:tc>
        <w:tc>
          <w:tcPr>
            <w:tcW w:w="9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3502,92</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3109,72</w:t>
            </w:r>
          </w:p>
        </w:tc>
        <w:tc>
          <w:tcPr>
            <w:tcW w:w="8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2880,58</w:t>
            </w:r>
          </w:p>
        </w:tc>
        <w:tc>
          <w:tcPr>
            <w:tcW w:w="88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3102,09</w:t>
            </w:r>
          </w:p>
        </w:tc>
        <w:tc>
          <w:tcPr>
            <w:tcW w:w="8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2549,37</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2933,43</w:t>
            </w:r>
          </w:p>
        </w:tc>
        <w:tc>
          <w:tcPr>
            <w:tcW w:w="888"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2937,57</w:t>
            </w:r>
          </w:p>
        </w:tc>
      </w:tr>
      <w:tr>
        <w:trPr/>
        <w:tc>
          <w:tcPr>
            <w:tcW w:w="34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2</w:t>
            </w:r>
          </w:p>
        </w:tc>
        <w:tc>
          <w:tcPr>
            <w:tcW w:w="1875"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Населення</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80439,97</w:t>
            </w:r>
          </w:p>
        </w:tc>
        <w:tc>
          <w:tcPr>
            <w:tcW w:w="9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74280,31</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62328,13</w:t>
            </w:r>
          </w:p>
        </w:tc>
        <w:tc>
          <w:tcPr>
            <w:tcW w:w="8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67640,01</w:t>
            </w:r>
          </w:p>
        </w:tc>
        <w:tc>
          <w:tcPr>
            <w:tcW w:w="88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70326,53</w:t>
            </w:r>
          </w:p>
        </w:tc>
        <w:tc>
          <w:tcPr>
            <w:tcW w:w="8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69999,26</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70923,97</w:t>
            </w:r>
          </w:p>
        </w:tc>
        <w:tc>
          <w:tcPr>
            <w:tcW w:w="888"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68462,46</w:t>
            </w:r>
          </w:p>
        </w:tc>
      </w:tr>
      <w:tr>
        <w:trPr/>
        <w:tc>
          <w:tcPr>
            <w:tcW w:w="34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3</w:t>
            </w:r>
          </w:p>
        </w:tc>
        <w:tc>
          <w:tcPr>
            <w:tcW w:w="1875"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Промислові підприємства</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39769,27</w:t>
            </w:r>
          </w:p>
        </w:tc>
        <w:tc>
          <w:tcPr>
            <w:tcW w:w="9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36250,58</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34123,00</w:t>
            </w:r>
          </w:p>
        </w:tc>
        <w:tc>
          <w:tcPr>
            <w:tcW w:w="8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20581,53</w:t>
            </w:r>
          </w:p>
        </w:tc>
        <w:tc>
          <w:tcPr>
            <w:tcW w:w="88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19462,48</w:t>
            </w:r>
          </w:p>
        </w:tc>
        <w:tc>
          <w:tcPr>
            <w:tcW w:w="8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13216,37</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33381,65</w:t>
            </w:r>
          </w:p>
        </w:tc>
        <w:tc>
          <w:tcPr>
            <w:tcW w:w="888"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39565,2</w:t>
            </w:r>
          </w:p>
        </w:tc>
      </w:tr>
      <w:tr>
        <w:trPr/>
        <w:tc>
          <w:tcPr>
            <w:tcW w:w="34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4</w:t>
            </w:r>
          </w:p>
        </w:tc>
        <w:tc>
          <w:tcPr>
            <w:tcW w:w="1875"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Інші (непромислові: склади, магазини, офіси, і т.д.)</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3224,54</w:t>
            </w:r>
          </w:p>
        </w:tc>
        <w:tc>
          <w:tcPr>
            <w:tcW w:w="9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2939,24</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2766,73</w:t>
            </w:r>
          </w:p>
        </w:tc>
        <w:tc>
          <w:tcPr>
            <w:tcW w:w="8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1673,33</w:t>
            </w:r>
          </w:p>
        </w:tc>
        <w:tc>
          <w:tcPr>
            <w:tcW w:w="88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1964,99</w:t>
            </w:r>
          </w:p>
        </w:tc>
        <w:tc>
          <w:tcPr>
            <w:tcW w:w="88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939,08</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2706,62</w:t>
            </w:r>
          </w:p>
        </w:tc>
        <w:tc>
          <w:tcPr>
            <w:tcW w:w="888"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34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shd w:fill="FFFFFF" w:val="clear"/>
              </w:rPr>
              <w:t>5</w:t>
            </w:r>
          </w:p>
        </w:tc>
        <w:tc>
          <w:tcPr>
            <w:tcW w:w="1875"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shd w:fill="FFFFFF" w:val="clear"/>
              </w:rPr>
              <w:t>Теплопостачальна  організація</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69205,39</w:t>
            </w:r>
          </w:p>
        </w:tc>
        <w:tc>
          <w:tcPr>
            <w:tcW w:w="98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68647,33</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61995,78</w:t>
            </w:r>
          </w:p>
        </w:tc>
        <w:tc>
          <w:tcPr>
            <w:tcW w:w="8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60131,04</w:t>
            </w:r>
          </w:p>
        </w:tc>
        <w:tc>
          <w:tcPr>
            <w:tcW w:w="88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63363,01</w:t>
            </w:r>
          </w:p>
        </w:tc>
        <w:tc>
          <w:tcPr>
            <w:tcW w:w="88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51697,95</w:t>
            </w:r>
          </w:p>
        </w:tc>
        <w:tc>
          <w:tcPr>
            <w:tcW w:w="981"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51419,95</w:t>
            </w:r>
          </w:p>
        </w:tc>
        <w:tc>
          <w:tcPr>
            <w:tcW w:w="888" w:type="dxa"/>
            <w:tcBorders>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52734,87</w:t>
            </w:r>
          </w:p>
        </w:tc>
      </w:tr>
      <w:tr>
        <w:trPr/>
        <w:tc>
          <w:tcPr>
            <w:tcW w:w="345" w:type="dxa"/>
            <w:tcBorders>
              <w:start w:val="single" w:sz="4" w:space="0" w:color="000000"/>
              <w:bottom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187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Загалом</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196542,46</w:t>
            </w:r>
          </w:p>
        </w:tc>
        <w:tc>
          <w:tcPr>
            <w:tcW w:w="98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185620,38</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164323,36</w:t>
            </w:r>
          </w:p>
        </w:tc>
        <w:tc>
          <w:tcPr>
            <w:tcW w:w="8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92775,45</w:t>
            </w:r>
          </w:p>
        </w:tc>
        <w:tc>
          <w:tcPr>
            <w:tcW w:w="88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158219,1</w:t>
            </w:r>
          </w:p>
        </w:tc>
        <w:tc>
          <w:tcPr>
            <w:tcW w:w="88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86704,08</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161365,62</w:t>
            </w:r>
          </w:p>
        </w:tc>
        <w:tc>
          <w:tcPr>
            <w:tcW w:w="8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163700,1</w:t>
            </w:r>
          </w:p>
        </w:tc>
      </w:tr>
    </w:tbl>
    <w:p>
      <w:pPr>
        <w:pStyle w:val="Normal"/>
        <w:spacing w:lineRule="auto" w:line="240" w:before="0" w:after="0"/>
        <w:rPr/>
      </w:pPr>
      <w:r>
        <w:rPr>
          <w:rFonts w:cs="Times New Roman" w:ascii="Times New Roman" w:hAnsi="Times New Roman"/>
          <w:sz w:val="16"/>
          <w:szCs w:val="16"/>
        </w:rPr>
        <w:t>* - дані відсутні</w:t>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drawing>
          <wp:anchor behindDoc="0" distT="0" distB="0" distL="0" distR="0" simplePos="0" locked="0" layoutInCell="0" allowOverlap="1" relativeHeight="48">
            <wp:simplePos x="0" y="0"/>
            <wp:positionH relativeFrom="column">
              <wp:posOffset>1057275</wp:posOffset>
            </wp:positionH>
            <wp:positionV relativeFrom="paragraph">
              <wp:posOffset>123825</wp:posOffset>
            </wp:positionV>
            <wp:extent cx="4159250" cy="1947545"/>
            <wp:effectExtent l="0" t="0" r="0" b="0"/>
            <wp:wrapSquare wrapText="largest"/>
            <wp:docPr id="11" name="Об'єкт7"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Рисунок 2.9. Споживання природного газу споживачами, тис.м</w:t>
      </w:r>
      <w:r>
        <w:rPr>
          <w:rFonts w:eastAsia="NSimSun" w:cs="Times New Roman" w:ascii="Times New Roman" w:hAnsi="Times New Roman"/>
          <w:color w:val="000000"/>
          <w:kern w:val="2"/>
          <w:sz w:val="24"/>
          <w:szCs w:val="24"/>
          <w:shd w:fill="FFFFFF" w:val="clear"/>
          <w:vertAlign w:val="superscript"/>
          <w:lang w:eastAsia="zh-CN" w:bidi="hi-IN"/>
        </w:rPr>
        <w:t>3</w:t>
      </w:r>
      <w:r>
        <w:rPr>
          <w:rFonts w:eastAsia="NSimSun" w:cs="Times New Roman" w:ascii="Times New Roman" w:hAnsi="Times New Roman"/>
          <w:color w:val="000000"/>
          <w:kern w:val="2"/>
          <w:sz w:val="24"/>
          <w:szCs w:val="24"/>
          <w:shd w:fill="FFFFFF" w:val="clear"/>
          <w:lang w:eastAsia="zh-CN" w:bidi="hi-IN"/>
        </w:rPr>
        <w:t xml:space="preserve"> </w:t>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2.3.7. Розподіл та постачання електроенергії</w:t>
      </w:r>
    </w:p>
    <w:p>
      <w:pPr>
        <w:pStyle w:val="Normal"/>
        <w:spacing w:lineRule="auto" w:line="240" w:before="0" w:after="0"/>
        <w:ind w:firstLine="567"/>
        <w:jc w:val="both"/>
        <w:rPr/>
      </w:pPr>
      <w:r>
        <w:rPr>
          <w:rFonts w:eastAsia="NSimSun" w:cs="Times New Roman" w:ascii="Times New Roman" w:hAnsi="Times New Roman"/>
          <w:color w:val="000000"/>
          <w:kern w:val="2"/>
          <w:sz w:val="24"/>
          <w:szCs w:val="24"/>
          <w:lang w:eastAsia="zh-CN" w:bidi="hi-IN"/>
        </w:rPr>
        <w:t>У 2025 році послуги розподілу електричної енергії у Волинській МТГ надається ПрАТ «Волиньобленерго».</w:t>
      </w:r>
    </w:p>
    <w:p>
      <w:pPr>
        <w:pStyle w:val="Normal"/>
        <w:tabs>
          <w:tab w:val="clear" w:pos="708"/>
          <w:tab w:val="left" w:pos="0" w:leader="none"/>
        </w:tabs>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 xml:space="preserve">Після початку повномасштабної війни в Україні, що призвела до пошкодження значної частини енергосистеми, у громаді в осінньо-зимовий період 2022-2024 років були тимчасові перебої з постачання електроенергії. </w:t>
      </w:r>
    </w:p>
    <w:p>
      <w:pPr>
        <w:pStyle w:val="Normal"/>
        <w:numPr>
          <w:ilvl w:val="0"/>
          <w:numId w:val="0"/>
        </w:numPr>
        <w:spacing w:lineRule="auto" w:line="240" w:before="0" w:after="0"/>
        <w:ind w:hanging="0" w:start="0"/>
        <w:jc w:val="center"/>
        <w:outlineLvl w:val="3"/>
        <w:rPr/>
      </w:pPr>
      <w:r>
        <w:rPr>
          <w:rFonts w:eastAsia="Arial" w:ascii="Times New Roman" w:hAnsi="Times New Roman"/>
          <w:kern w:val="2"/>
          <w:sz w:val="24"/>
          <w:szCs w:val="24"/>
        </w:rPr>
        <w:t xml:space="preserve">Таблиця 2.12. Обсяги постачання електроенергії споживачам Луцької МТГ, </w:t>
      </w:r>
      <w:r>
        <w:rPr>
          <w:rFonts w:eastAsia="Microsoft Sans Serif" w:cs="Times New Roman" w:ascii="Times New Roman" w:hAnsi="Times New Roman"/>
          <w:color w:val="000000"/>
          <w:kern w:val="2"/>
          <w:sz w:val="24"/>
          <w:szCs w:val="24"/>
          <w:shd w:fill="FFFFFF" w:val="clear"/>
        </w:rPr>
        <w:t>МВт∙год</w:t>
      </w:r>
    </w:p>
    <w:tbl>
      <w:tblPr>
        <w:tblW w:w="10113" w:type="dxa"/>
        <w:jc w:val="start"/>
        <w:tblInd w:w="-101" w:type="dxa"/>
        <w:tblLayout w:type="fixed"/>
        <w:tblCellMar>
          <w:top w:w="55" w:type="dxa"/>
          <w:start w:w="55" w:type="dxa"/>
          <w:bottom w:w="55" w:type="dxa"/>
          <w:end w:w="55" w:type="dxa"/>
        </w:tblCellMar>
        <w:tblLook w:firstRow="1" w:noVBand="1" w:lastRow="0" w:firstColumn="1" w:lastColumn="0" w:noHBand="0" w:val="04a0"/>
      </w:tblPr>
      <w:tblGrid>
        <w:gridCol w:w="2265"/>
        <w:gridCol w:w="981"/>
        <w:gridCol w:w="981"/>
        <w:gridCol w:w="981"/>
        <w:gridCol w:w="981"/>
        <w:gridCol w:w="984"/>
        <w:gridCol w:w="981"/>
        <w:gridCol w:w="981"/>
        <w:gridCol w:w="977"/>
      </w:tblGrid>
      <w:tr>
        <w:trPr/>
        <w:tc>
          <w:tcPr>
            <w:tcW w:w="2265"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Сектори</w:t>
            </w:r>
          </w:p>
        </w:tc>
        <w:tc>
          <w:tcPr>
            <w:tcW w:w="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2017</w:t>
            </w:r>
          </w:p>
        </w:tc>
        <w:tc>
          <w:tcPr>
            <w:tcW w:w="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2018</w:t>
            </w:r>
          </w:p>
        </w:tc>
        <w:tc>
          <w:tcPr>
            <w:tcW w:w="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2019</w:t>
            </w:r>
          </w:p>
        </w:tc>
        <w:tc>
          <w:tcPr>
            <w:tcW w:w="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2020</w:t>
            </w:r>
          </w:p>
        </w:tc>
        <w:tc>
          <w:tcPr>
            <w:tcW w:w="984"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2021</w:t>
            </w:r>
          </w:p>
        </w:tc>
        <w:tc>
          <w:tcPr>
            <w:tcW w:w="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2022</w:t>
            </w:r>
          </w:p>
        </w:tc>
        <w:tc>
          <w:tcPr>
            <w:tcW w:w="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rPr>
              <w:t>2023</w:t>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rPr>
              <w:t>2024</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Громадські будівлі</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25607,00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29821,00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28380,00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25006,00</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30955,00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29762,00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26588,00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22121,70</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Об'єкти водопостачання та водовідведення</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18000,00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18200,00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17700,00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18100,00</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18300,00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16200,00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17938,00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16757,00</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Об’єкти зовнішнього освітлення</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3508,00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3465,00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3619,00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3936,00</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4820,00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3528,00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3424,90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3931,80</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Житлові будівлі</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135876,00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136356,00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138887,00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215333,00</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233591,00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228839,00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150141,00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147157,90</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Об'єкти в сфері теплопостачання  (в частині споживання електричної енергії для потреб транспортування і розподілу теплової енергії)</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20183,80</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19962,97</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19332,24</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20253,21</w:t>
            </w:r>
          </w:p>
        </w:tc>
        <w:tc>
          <w:tcPr>
            <w:tcW w:w="98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19519,43</w:t>
            </w:r>
          </w:p>
        </w:tc>
        <w:tc>
          <w:tcPr>
            <w:tcW w:w="98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16978,46</w:t>
            </w:r>
          </w:p>
        </w:tc>
        <w:tc>
          <w:tcPr>
            <w:tcW w:w="981"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shd w:fill="FFFFFF" w:val="clear"/>
              </w:rPr>
              <w:t>14795,70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14428,34</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Третинний сектор</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289693,00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306380,00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241075,00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318766,00</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367085,00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306496,00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214391,00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237718,7</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Громадський транспорт та відповідна інфраструктура</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7512,20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7499,50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7107,80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5272,81</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6189,90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4680,11</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4859,20</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4856,02</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Приватний та комерційний транспорт</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752,97</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792,60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817,12</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833,79</w:t>
            </w:r>
          </w:p>
        </w:tc>
        <w:tc>
          <w:tcPr>
            <w:tcW w:w="98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858,81</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790,10</w:t>
            </w:r>
          </w:p>
        </w:tc>
        <w:tc>
          <w:tcPr>
            <w:tcW w:w="98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916,52</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992,21</w:t>
            </w:r>
          </w:p>
        </w:tc>
      </w:tr>
      <w:tr>
        <w:trPr/>
        <w:tc>
          <w:tcPr>
            <w:tcW w:w="2265"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Загальне споживання</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501132,97</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522477,07</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456918,16</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587247,6</w:t>
            </w:r>
          </w:p>
        </w:tc>
        <w:tc>
          <w:tcPr>
            <w:tcW w:w="98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681319,14</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607273,67</w:t>
            </w:r>
          </w:p>
        </w:tc>
        <w:tc>
          <w:tcPr>
            <w:tcW w:w="981"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433054,32</w:t>
            </w:r>
          </w:p>
        </w:tc>
        <w:tc>
          <w:tcPr>
            <w:tcW w:w="97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447963,67</w:t>
            </w:r>
          </w:p>
        </w:tc>
      </w:tr>
    </w:tbl>
    <w:p>
      <w:pPr>
        <w:pStyle w:val="Normal"/>
        <w:rPr>
          <w:rFonts w:ascii="Times New Roman" w:hAnsi="Times New Roman" w:cs="Times New Roman"/>
          <w:color w:val="000000"/>
          <w:sz w:val="24"/>
          <w:szCs w:val="24"/>
        </w:rPr>
      </w:pPr>
      <w:r>
        <w:rPr>
          <w:rFonts w:cs="Times New Roman" w:ascii="Times New Roman" w:hAnsi="Times New Roman"/>
          <w:color w:val="000000"/>
          <w:sz w:val="24"/>
          <w:szCs w:val="24"/>
        </w:rPr>
        <w:drawing>
          <wp:anchor behindDoc="0" distT="0" distB="0" distL="0" distR="0" simplePos="0" locked="0" layoutInCell="0" allowOverlap="1" relativeHeight="47">
            <wp:simplePos x="0" y="0"/>
            <wp:positionH relativeFrom="column">
              <wp:posOffset>1054100</wp:posOffset>
            </wp:positionH>
            <wp:positionV relativeFrom="paragraph">
              <wp:posOffset>81280</wp:posOffset>
            </wp:positionV>
            <wp:extent cx="3930650" cy="2485390"/>
            <wp:effectExtent l="0" t="0" r="0" b="0"/>
            <wp:wrapSquare wrapText="largest"/>
            <wp:docPr id="12" name="Об'єкт25"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Рисунок 2.10. </w:t>
      </w:r>
      <w:r>
        <w:rPr>
          <w:rFonts w:eastAsia="Arial" w:cs="Times New Roman" w:ascii="Times New Roman" w:hAnsi="Times New Roman"/>
          <w:color w:val="000000"/>
          <w:kern w:val="2"/>
          <w:sz w:val="24"/>
          <w:szCs w:val="24"/>
          <w:shd w:fill="FFFFFF" w:val="clear"/>
          <w:lang w:eastAsia="zh-CN" w:bidi="hi-IN"/>
        </w:rPr>
        <w:t xml:space="preserve">Обсяги постачання електроенергії споживачам Луцької МТГ, </w:t>
      </w:r>
      <w:r>
        <w:rPr>
          <w:rFonts w:eastAsia="Microsoft Sans Serif" w:cs="Times New Roman" w:ascii="Times New Roman" w:hAnsi="Times New Roman"/>
          <w:color w:val="000000"/>
          <w:kern w:val="2"/>
          <w:sz w:val="24"/>
          <w:szCs w:val="24"/>
          <w:shd w:fill="FFFFFF" w:val="clear"/>
          <w:lang w:eastAsia="zh-CN" w:bidi="hi-IN"/>
        </w:rPr>
        <w:t>МВт∙год</w:t>
      </w:r>
    </w:p>
    <w:p>
      <w:pPr>
        <w:pStyle w:val="Normal"/>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2.3.8. Управління побутовими відходами</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Основна частина побутових відходів Луцька та навколишніх старостинських округів вивозиться на полігон ТПВ у с. Брище, що знаходиться у північній частині громади. Площа полігону ТПВ становить понад 86 га. Послуги із вивезенням твердих побутових відходів, санітарного прибирання вулиць міста та наданням послуг із зимового утримання вулиць міста надаються Луцьким спеціальним комунальним автотранспортним підприємством «Луцькспецкомунтранс». </w:t>
      </w:r>
    </w:p>
    <w:p>
      <w:pPr>
        <w:pStyle w:val="BodyText"/>
        <w:spacing w:before="0" w:after="0"/>
        <w:ind w:firstLine="567"/>
        <w:jc w:val="center"/>
        <w:rPr/>
      </w:pPr>
      <w:r>
        <w:rPr>
          <w:rFonts w:ascii="Times New Roman" w:hAnsi="Times New Roman"/>
          <w:sz w:val="24"/>
          <w:szCs w:val="24"/>
          <w:shd w:fill="FFFFFF" w:val="clear"/>
        </w:rPr>
        <w:t xml:space="preserve">Таблиця 2.13. Поводження з відходами </w:t>
      </w:r>
    </w:p>
    <w:tbl>
      <w:tblPr>
        <w:tblW w:w="9590" w:type="dxa"/>
        <w:jc w:val="start"/>
        <w:tblInd w:w="168" w:type="dxa"/>
        <w:tblLayout w:type="fixed"/>
        <w:tblCellMar>
          <w:top w:w="55" w:type="dxa"/>
          <w:start w:w="108" w:type="dxa"/>
          <w:bottom w:w="55" w:type="dxa"/>
          <w:end w:w="108" w:type="dxa"/>
        </w:tblCellMar>
        <w:tblLook w:firstRow="1" w:noVBand="1" w:lastRow="0" w:firstColumn="1" w:lastColumn="0" w:noHBand="0" w:val="04a0"/>
      </w:tblPr>
      <w:tblGrid>
        <w:gridCol w:w="2501"/>
        <w:gridCol w:w="1250"/>
        <w:gridCol w:w="834"/>
        <w:gridCol w:w="837"/>
        <w:gridCol w:w="831"/>
        <w:gridCol w:w="834"/>
        <w:gridCol w:w="842"/>
        <w:gridCol w:w="826"/>
        <w:gridCol w:w="834"/>
      </w:tblGrid>
      <w:tr>
        <w:trPr/>
        <w:tc>
          <w:tcPr>
            <w:tcW w:w="250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Показник</w:t>
            </w:r>
          </w:p>
        </w:tc>
        <w:tc>
          <w:tcPr>
            <w:tcW w:w="1250"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2017</w:t>
            </w:r>
          </w:p>
        </w:tc>
        <w:tc>
          <w:tcPr>
            <w:tcW w:w="834"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2018</w:t>
            </w:r>
          </w:p>
        </w:tc>
        <w:tc>
          <w:tcPr>
            <w:tcW w:w="837"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2019</w:t>
            </w:r>
          </w:p>
        </w:tc>
        <w:tc>
          <w:tcPr>
            <w:tcW w:w="83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2020</w:t>
            </w:r>
          </w:p>
        </w:tc>
        <w:tc>
          <w:tcPr>
            <w:tcW w:w="834"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2021</w:t>
            </w:r>
          </w:p>
        </w:tc>
        <w:tc>
          <w:tcPr>
            <w:tcW w:w="842"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2022</w:t>
            </w:r>
          </w:p>
        </w:tc>
        <w:tc>
          <w:tcPr>
            <w:tcW w:w="826"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2023</w:t>
            </w:r>
          </w:p>
        </w:tc>
        <w:tc>
          <w:tcPr>
            <w:tcW w:w="83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sz w:val="20"/>
                <w:szCs w:val="20"/>
              </w:rPr>
              <w:t>2024</w:t>
            </w:r>
          </w:p>
        </w:tc>
      </w:tr>
      <w:tr>
        <w:trPr/>
        <w:tc>
          <w:tcPr>
            <w:tcW w:w="2501" w:type="dxa"/>
            <w:tcBorders>
              <w:start w:val="single" w:sz="4" w:space="0" w:color="000000"/>
              <w:bottom w:val="single" w:sz="4" w:space="0" w:color="000000"/>
            </w:tcBorders>
          </w:tcPr>
          <w:p>
            <w:pPr>
              <w:pStyle w:val="Normal"/>
              <w:spacing w:lineRule="auto" w:line="240" w:before="0" w:after="0"/>
              <w:rPr/>
            </w:pPr>
            <w:r>
              <w:rPr>
                <w:rFonts w:ascii="Times New Roman" w:hAnsi="Times New Roman"/>
                <w:color w:val="000000"/>
                <w:sz w:val="20"/>
                <w:szCs w:val="20"/>
                <w:shd w:fill="FFFFFF" w:val="clear"/>
              </w:rPr>
              <w:t>Кількість сміттєвозів (од.)</w:t>
            </w:r>
          </w:p>
        </w:tc>
        <w:tc>
          <w:tcPr>
            <w:tcW w:w="125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26</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21</w:t>
            </w:r>
          </w:p>
        </w:tc>
        <w:tc>
          <w:tcPr>
            <w:tcW w:w="83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23</w:t>
            </w:r>
          </w:p>
        </w:tc>
        <w:tc>
          <w:tcPr>
            <w:tcW w:w="83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23</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23</w:t>
            </w:r>
          </w:p>
        </w:tc>
        <w:tc>
          <w:tcPr>
            <w:tcW w:w="84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24</w:t>
            </w:r>
          </w:p>
        </w:tc>
        <w:tc>
          <w:tcPr>
            <w:tcW w:w="82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28</w:t>
            </w:r>
          </w:p>
        </w:tc>
        <w:tc>
          <w:tcPr>
            <w:tcW w:w="8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24</w:t>
            </w:r>
          </w:p>
        </w:tc>
      </w:tr>
      <w:tr>
        <w:trPr/>
        <w:tc>
          <w:tcPr>
            <w:tcW w:w="250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shd w:fill="FFFFFF" w:val="clear"/>
              </w:rPr>
              <w:t>Спецтехніка залучена в вивезенні та утилізації побутових відходів</w:t>
            </w:r>
          </w:p>
        </w:tc>
        <w:tc>
          <w:tcPr>
            <w:tcW w:w="125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4</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6</w:t>
            </w:r>
          </w:p>
        </w:tc>
        <w:tc>
          <w:tcPr>
            <w:tcW w:w="83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w:t>
            </w:r>
          </w:p>
        </w:tc>
        <w:tc>
          <w:tcPr>
            <w:tcW w:w="83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w:t>
            </w:r>
          </w:p>
        </w:tc>
        <w:tc>
          <w:tcPr>
            <w:tcW w:w="84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w:t>
            </w:r>
          </w:p>
        </w:tc>
        <w:tc>
          <w:tcPr>
            <w:tcW w:w="82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11</w:t>
            </w:r>
          </w:p>
        </w:tc>
        <w:tc>
          <w:tcPr>
            <w:tcW w:w="8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11</w:t>
            </w:r>
          </w:p>
        </w:tc>
      </w:tr>
      <w:tr>
        <w:trPr/>
        <w:tc>
          <w:tcPr>
            <w:tcW w:w="2501" w:type="dxa"/>
            <w:tcBorders>
              <w:start w:val="single" w:sz="4" w:space="0" w:color="000000"/>
              <w:bottom w:val="single" w:sz="4" w:space="0" w:color="000000"/>
            </w:tcBorders>
          </w:tcPr>
          <w:p>
            <w:pPr>
              <w:pStyle w:val="Normal"/>
              <w:spacing w:lineRule="auto" w:line="240" w:before="0" w:after="0"/>
              <w:rPr/>
            </w:pPr>
            <w:r>
              <w:rPr>
                <w:rFonts w:ascii="Times New Roman" w:hAnsi="Times New Roman"/>
                <w:color w:val="000000"/>
                <w:sz w:val="20"/>
                <w:szCs w:val="20"/>
                <w:shd w:fill="FFFFFF" w:val="clear"/>
              </w:rPr>
              <w:t>Кількість наявних контейнерів для збору відходів (од.)</w:t>
            </w:r>
          </w:p>
        </w:tc>
        <w:tc>
          <w:tcPr>
            <w:tcW w:w="125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1037</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1087</w:t>
            </w:r>
          </w:p>
        </w:tc>
        <w:tc>
          <w:tcPr>
            <w:tcW w:w="83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1087</w:t>
            </w:r>
          </w:p>
        </w:tc>
        <w:tc>
          <w:tcPr>
            <w:tcW w:w="83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1370</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1420</w:t>
            </w:r>
          </w:p>
        </w:tc>
        <w:tc>
          <w:tcPr>
            <w:tcW w:w="84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1418</w:t>
            </w:r>
          </w:p>
        </w:tc>
        <w:tc>
          <w:tcPr>
            <w:tcW w:w="82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1460</w:t>
            </w:r>
          </w:p>
        </w:tc>
        <w:tc>
          <w:tcPr>
            <w:tcW w:w="8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1486</w:t>
            </w:r>
          </w:p>
        </w:tc>
      </w:tr>
      <w:tr>
        <w:trPr/>
        <w:tc>
          <w:tcPr>
            <w:tcW w:w="2501" w:type="dxa"/>
            <w:tcBorders>
              <w:start w:val="single" w:sz="4" w:space="0" w:color="000000"/>
              <w:bottom w:val="single" w:sz="4" w:space="0" w:color="000000"/>
            </w:tcBorders>
          </w:tcPr>
          <w:p>
            <w:pPr>
              <w:pStyle w:val="Normal"/>
              <w:widowControl w:val="false"/>
              <w:spacing w:lineRule="auto" w:line="240" w:before="0" w:after="0"/>
              <w:rPr/>
            </w:pPr>
            <w:r>
              <w:rPr>
                <w:rFonts w:ascii="Times New Roman" w:hAnsi="Times New Roman"/>
                <w:sz w:val="20"/>
                <w:szCs w:val="20"/>
                <w:shd w:fill="FFFFFF" w:val="clear"/>
              </w:rPr>
              <w:t>Кількість побутових відходів, що було вивезено та утилізовано (тис. т)</w:t>
            </w:r>
          </w:p>
        </w:tc>
        <w:tc>
          <w:tcPr>
            <w:tcW w:w="125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84,9</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85,1</w:t>
            </w:r>
          </w:p>
        </w:tc>
        <w:tc>
          <w:tcPr>
            <w:tcW w:w="83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89,7</w:t>
            </w:r>
          </w:p>
        </w:tc>
        <w:tc>
          <w:tcPr>
            <w:tcW w:w="83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85,3</w:t>
            </w:r>
          </w:p>
        </w:tc>
        <w:tc>
          <w:tcPr>
            <w:tcW w:w="83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90,9</w:t>
            </w:r>
          </w:p>
        </w:tc>
        <w:tc>
          <w:tcPr>
            <w:tcW w:w="84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73,1</w:t>
            </w:r>
          </w:p>
        </w:tc>
        <w:tc>
          <w:tcPr>
            <w:tcW w:w="82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83,2</w:t>
            </w:r>
          </w:p>
        </w:tc>
        <w:tc>
          <w:tcPr>
            <w:tcW w:w="8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64,9</w:t>
            </w:r>
          </w:p>
        </w:tc>
      </w:tr>
      <w:tr>
        <w:trPr/>
        <w:tc>
          <w:tcPr>
            <w:tcW w:w="8755" w:type="dxa"/>
            <w:gridSpan w:val="8"/>
            <w:tcBorders>
              <w:start w:val="single" w:sz="4" w:space="0" w:color="000000"/>
              <w:bottom w:val="single" w:sz="4" w:space="0" w:color="000000"/>
            </w:tcBorders>
          </w:tcPr>
          <w:p>
            <w:pPr>
              <w:pStyle w:val="Normal"/>
              <w:widowControl w:val="false"/>
              <w:spacing w:lineRule="auto" w:line="240" w:before="0" w:after="0"/>
              <w:rPr/>
            </w:pPr>
            <w:r>
              <w:rPr>
                <w:rFonts w:ascii="Times New Roman" w:hAnsi="Times New Roman"/>
                <w:sz w:val="20"/>
                <w:szCs w:val="20"/>
                <w:shd w:fill="FFFFFF" w:val="clear"/>
              </w:rPr>
              <w:t>Кількість палива, що було використано для вивезення та утилізації побутових відходів:</w:t>
            </w:r>
          </w:p>
        </w:tc>
        <w:tc>
          <w:tcPr>
            <w:tcW w:w="834" w:type="dxa"/>
            <w:tcBorders>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2501" w:type="dxa"/>
            <w:tcBorders>
              <w:start w:val="single" w:sz="4" w:space="0" w:color="000000"/>
              <w:bottom w:val="single" w:sz="4" w:space="0" w:color="000000"/>
            </w:tcBorders>
          </w:tcPr>
          <w:p>
            <w:pPr>
              <w:pStyle w:val="Normal"/>
              <w:widowControl w:val="false"/>
              <w:spacing w:lineRule="auto" w:line="240" w:before="0" w:after="0"/>
              <w:rPr/>
            </w:pPr>
            <w:r>
              <w:rPr>
                <w:rFonts w:ascii="Times New Roman" w:hAnsi="Times New Roman"/>
                <w:sz w:val="20"/>
                <w:szCs w:val="20"/>
                <w:shd w:fill="FFFFFF" w:val="clear"/>
              </w:rPr>
              <w:t>Бензин, л</w:t>
            </w:r>
          </w:p>
        </w:tc>
        <w:tc>
          <w:tcPr>
            <w:tcW w:w="1250"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30419</w:t>
            </w:r>
          </w:p>
        </w:tc>
        <w:tc>
          <w:tcPr>
            <w:tcW w:w="834"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34042</w:t>
            </w:r>
          </w:p>
        </w:tc>
        <w:tc>
          <w:tcPr>
            <w:tcW w:w="837"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32676</w:t>
            </w:r>
          </w:p>
        </w:tc>
        <w:tc>
          <w:tcPr>
            <w:tcW w:w="831"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24262</w:t>
            </w:r>
          </w:p>
        </w:tc>
        <w:tc>
          <w:tcPr>
            <w:tcW w:w="834"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8957</w:t>
            </w:r>
          </w:p>
        </w:tc>
        <w:tc>
          <w:tcPr>
            <w:tcW w:w="842"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7568</w:t>
            </w:r>
          </w:p>
        </w:tc>
        <w:tc>
          <w:tcPr>
            <w:tcW w:w="82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6920</w:t>
            </w:r>
          </w:p>
        </w:tc>
        <w:tc>
          <w:tcPr>
            <w:tcW w:w="834" w:type="dxa"/>
            <w:tcBorders>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sz w:val="20"/>
                <w:szCs w:val="20"/>
              </w:rPr>
              <w:t>39368</w:t>
            </w:r>
          </w:p>
        </w:tc>
      </w:tr>
      <w:tr>
        <w:trPr/>
        <w:tc>
          <w:tcPr>
            <w:tcW w:w="2501" w:type="dxa"/>
            <w:tcBorders>
              <w:start w:val="single" w:sz="4" w:space="0" w:color="000000"/>
              <w:bottom w:val="single" w:sz="4" w:space="0" w:color="000000"/>
            </w:tcBorders>
          </w:tcPr>
          <w:p>
            <w:pPr>
              <w:pStyle w:val="Normal"/>
              <w:widowControl w:val="false"/>
              <w:spacing w:lineRule="auto" w:line="240" w:before="0" w:after="0"/>
              <w:rPr/>
            </w:pPr>
            <w:r>
              <w:rPr>
                <w:rFonts w:ascii="Times New Roman" w:hAnsi="Times New Roman"/>
                <w:sz w:val="20"/>
                <w:szCs w:val="20"/>
                <w:shd w:fill="FFFFFF" w:val="clear"/>
              </w:rPr>
              <w:t>Дизель, л</w:t>
            </w:r>
          </w:p>
        </w:tc>
        <w:tc>
          <w:tcPr>
            <w:tcW w:w="1250"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336178</w:t>
            </w:r>
          </w:p>
        </w:tc>
        <w:tc>
          <w:tcPr>
            <w:tcW w:w="834"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380254</w:t>
            </w:r>
          </w:p>
        </w:tc>
        <w:tc>
          <w:tcPr>
            <w:tcW w:w="837"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428172</w:t>
            </w:r>
          </w:p>
        </w:tc>
        <w:tc>
          <w:tcPr>
            <w:tcW w:w="831"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457699</w:t>
            </w:r>
          </w:p>
        </w:tc>
        <w:tc>
          <w:tcPr>
            <w:tcW w:w="834"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435087</w:t>
            </w:r>
          </w:p>
        </w:tc>
        <w:tc>
          <w:tcPr>
            <w:tcW w:w="842"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411729</w:t>
            </w:r>
          </w:p>
        </w:tc>
        <w:tc>
          <w:tcPr>
            <w:tcW w:w="82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shd w:fill="FFFFFF" w:val="clear"/>
              </w:rPr>
              <w:t>486470</w:t>
            </w:r>
          </w:p>
        </w:tc>
        <w:tc>
          <w:tcPr>
            <w:tcW w:w="834" w:type="dxa"/>
            <w:tcBorders>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sz w:val="20"/>
                <w:szCs w:val="20"/>
              </w:rPr>
              <w:t>655375</w:t>
            </w:r>
          </w:p>
        </w:tc>
      </w:tr>
      <w:tr>
        <w:trPr/>
        <w:tc>
          <w:tcPr>
            <w:tcW w:w="2501" w:type="dxa"/>
            <w:tcBorders>
              <w:start w:val="single" w:sz="4" w:space="0" w:color="000000"/>
              <w:bottom w:val="single" w:sz="4" w:space="0" w:color="000000"/>
            </w:tcBorders>
          </w:tcPr>
          <w:p>
            <w:pPr>
              <w:pStyle w:val="Normal"/>
              <w:widowControl w:val="false"/>
              <w:spacing w:lineRule="auto" w:line="240" w:before="0" w:after="0"/>
              <w:rPr/>
            </w:pPr>
            <w:r>
              <w:rPr>
                <w:rFonts w:ascii="Times New Roman" w:hAnsi="Times New Roman"/>
                <w:sz w:val="20"/>
                <w:szCs w:val="20"/>
                <w:shd w:fill="FFFFFF" w:val="clear"/>
              </w:rPr>
              <w:t>Газ (стиснений, метан), м</w:t>
            </w:r>
            <w:r>
              <w:rPr>
                <w:rFonts w:ascii="Times New Roman" w:hAnsi="Times New Roman"/>
                <w:sz w:val="20"/>
                <w:szCs w:val="20"/>
                <w:shd w:fill="FFFFFF" w:val="clear"/>
                <w:vertAlign w:val="superscript"/>
              </w:rPr>
              <w:t>3</w:t>
            </w:r>
          </w:p>
        </w:tc>
        <w:tc>
          <w:tcPr>
            <w:tcW w:w="1250"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7631</w:t>
            </w:r>
          </w:p>
        </w:tc>
        <w:tc>
          <w:tcPr>
            <w:tcW w:w="834"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3232</w:t>
            </w:r>
          </w:p>
        </w:tc>
        <w:tc>
          <w:tcPr>
            <w:tcW w:w="837"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6478</w:t>
            </w:r>
          </w:p>
        </w:tc>
        <w:tc>
          <w:tcPr>
            <w:tcW w:w="831"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2991</w:t>
            </w:r>
          </w:p>
        </w:tc>
        <w:tc>
          <w:tcPr>
            <w:tcW w:w="834"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4346</w:t>
            </w:r>
          </w:p>
        </w:tc>
        <w:tc>
          <w:tcPr>
            <w:tcW w:w="842"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4284</w:t>
            </w:r>
          </w:p>
        </w:tc>
        <w:tc>
          <w:tcPr>
            <w:tcW w:w="826" w:type="dxa"/>
            <w:tcBorders>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8606</w:t>
            </w:r>
          </w:p>
        </w:tc>
        <w:tc>
          <w:tcPr>
            <w:tcW w:w="83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sz w:val="20"/>
                <w:szCs w:val="20"/>
              </w:rPr>
              <w:t>21087</w:t>
            </w:r>
          </w:p>
        </w:tc>
      </w:tr>
    </w:tbl>
    <w:p>
      <w:pPr>
        <w:pStyle w:val="BodyText"/>
        <w:tabs>
          <w:tab w:val="clear" w:pos="708"/>
          <w:tab w:val="left" w:pos="555" w:leader="none"/>
        </w:tabs>
        <w:spacing w:before="0" w:after="0"/>
        <w:ind w:firstLine="567"/>
        <w:jc w:val="both"/>
        <w:rPr/>
      </w:pPr>
      <w:r>
        <w:rPr>
          <w:rFonts w:ascii="Times New Roman" w:hAnsi="Times New Roman"/>
          <w:sz w:val="24"/>
          <w:szCs w:val="24"/>
          <w:shd w:fill="FFFFFF" w:val="clear"/>
        </w:rPr>
        <w:t xml:space="preserve">У Луцьку та інших населених пунктах громади розпочато роздільне збирання окремих складових побутових відходів. </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2.3.9. Третинний сектор</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Третинний сектор Луцької МТГ має стійку тенденцію щодо зростання споживання енергоресурсів.</w:t>
      </w:r>
    </w:p>
    <w:p>
      <w:pPr>
        <w:pStyle w:val="Normal"/>
        <w:spacing w:before="0" w:after="0"/>
        <w:ind w:firstLine="567"/>
        <w:jc w:val="center"/>
        <w:rPr/>
      </w:pPr>
      <w:r>
        <w:rPr>
          <w:rFonts w:eastAsia="NSimSun" w:cs="Times New Roman" w:ascii="Times New Roman" w:hAnsi="Times New Roman"/>
          <w:color w:val="000000"/>
          <w:kern w:val="2"/>
          <w:sz w:val="24"/>
          <w:szCs w:val="24"/>
          <w:lang w:eastAsia="zh-CN" w:bidi="hi-IN"/>
        </w:rPr>
        <w:t xml:space="preserve">Таблиця 2.14. Споживання енергоресурсів третинним сектором Луцької МТГ  </w:t>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tbl>
      <w:tblPr>
        <w:tblW w:w="9525" w:type="dxa"/>
        <w:jc w:val="start"/>
        <w:tblInd w:w="148" w:type="dxa"/>
        <w:tblLayout w:type="fixed"/>
        <w:tblCellMar>
          <w:top w:w="0" w:type="dxa"/>
          <w:start w:w="7" w:type="dxa"/>
          <w:bottom w:w="0" w:type="dxa"/>
          <w:end w:w="10" w:type="dxa"/>
        </w:tblCellMar>
        <w:tblLook w:firstRow="1" w:noVBand="1" w:lastRow="0" w:firstColumn="1" w:lastColumn="0" w:noHBand="0" w:val="04a0"/>
      </w:tblPr>
      <w:tblGrid>
        <w:gridCol w:w="1143"/>
        <w:gridCol w:w="2687"/>
        <w:gridCol w:w="2667"/>
        <w:gridCol w:w="3027"/>
      </w:tblGrid>
      <w:tr>
        <w:trPr>
          <w:trHeight w:val="544"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Роки</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Теплова енергія</w:t>
            </w:r>
          </w:p>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тис.Гкал</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Газопостачання</w:t>
            </w:r>
          </w:p>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тис.м</w:t>
            </w:r>
            <w:r>
              <w:rPr>
                <w:rFonts w:eastAsia="Microsoft Sans Serif" w:cs="Times New Roman" w:ascii="Times New Roman" w:hAnsi="Times New Roman"/>
                <w:kern w:val="2"/>
                <w:shd w:fill="FFFFFF" w:val="clear"/>
                <w:vertAlign w:val="superscript"/>
              </w:rPr>
              <w:t>3</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Електропостачання</w:t>
            </w:r>
          </w:p>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тис.МВт.год</w:t>
            </w:r>
          </w:p>
        </w:tc>
      </w:tr>
      <w:tr>
        <w:trPr>
          <w:trHeight w:val="272"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2017</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20,35</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3224,54</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289,7</w:t>
            </w:r>
          </w:p>
        </w:tc>
      </w:tr>
      <w:tr>
        <w:trPr>
          <w:trHeight w:val="270"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2018</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18,47</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2939,24</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306,4</w:t>
            </w:r>
          </w:p>
        </w:tc>
      </w:tr>
      <w:tr>
        <w:trPr>
          <w:trHeight w:val="298"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2019</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12,67</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2766,73</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241,1</w:t>
            </w:r>
          </w:p>
        </w:tc>
      </w:tr>
      <w:tr>
        <w:trPr>
          <w:trHeight w:val="298"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2020</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11,16</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20581,53</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318,8</w:t>
            </w:r>
          </w:p>
        </w:tc>
      </w:tr>
      <w:tr>
        <w:trPr>
          <w:trHeight w:val="298"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2021</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12,94</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19462,48</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367,1</w:t>
            </w:r>
          </w:p>
        </w:tc>
      </w:tr>
      <w:tr>
        <w:trPr>
          <w:trHeight w:val="298"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2022</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8,2</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13216,37</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hd w:fill="FFFFFF" w:val="clear"/>
              </w:rPr>
              <w:t>306,5</w:t>
            </w:r>
          </w:p>
        </w:tc>
      </w:tr>
      <w:tr>
        <w:trPr>
          <w:trHeight w:val="298" w:hRule="atLeast"/>
        </w:trPr>
        <w:tc>
          <w:tcPr>
            <w:tcW w:w="1143"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2023</w:t>
            </w:r>
          </w:p>
        </w:tc>
        <w:tc>
          <w:tcPr>
            <w:tcW w:w="268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hd w:fill="FFFFFF" w:val="clear"/>
              </w:rPr>
              <w:t>10,6</w:t>
            </w:r>
          </w:p>
        </w:tc>
        <w:tc>
          <w:tcPr>
            <w:tcW w:w="266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hd w:fill="FFFFFF" w:val="clear"/>
              </w:rPr>
              <w:t>36088,27</w:t>
            </w:r>
          </w:p>
        </w:tc>
        <w:tc>
          <w:tcPr>
            <w:tcW w:w="3027" w:type="dxa"/>
            <w:tcBorders>
              <w:top w:val="single" w:sz="4" w:space="0" w:color="000000"/>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hd w:fill="FFFFFF" w:val="clear"/>
              </w:rPr>
              <w:t>214,4</w:t>
            </w:r>
          </w:p>
        </w:tc>
      </w:tr>
      <w:tr>
        <w:trPr>
          <w:trHeight w:val="298" w:hRule="atLeast"/>
        </w:trPr>
        <w:tc>
          <w:tcPr>
            <w:tcW w:w="1143" w:type="dxa"/>
            <w:tcBorders>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ascii="Times New Roman" w:hAnsi="Times New Roman"/>
              </w:rPr>
              <w:t>2024</w:t>
            </w:r>
          </w:p>
        </w:tc>
        <w:tc>
          <w:tcPr>
            <w:tcW w:w="2687" w:type="dxa"/>
            <w:tcBorders>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ascii="Times New Roman" w:hAnsi="Times New Roman"/>
              </w:rPr>
              <w:t>9,4</w:t>
            </w:r>
          </w:p>
        </w:tc>
        <w:tc>
          <w:tcPr>
            <w:tcW w:w="2667" w:type="dxa"/>
            <w:tcBorders>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ascii="Times New Roman" w:hAnsi="Times New Roman"/>
              </w:rPr>
              <w:t>39565,20</w:t>
            </w:r>
          </w:p>
        </w:tc>
        <w:tc>
          <w:tcPr>
            <w:tcW w:w="3027" w:type="dxa"/>
            <w:tcBorders>
              <w:start w:val="single" w:sz="4" w:space="0" w:color="000000"/>
              <w:bottom w:val="single" w:sz="4" w:space="0" w:color="000000"/>
              <w:end w:val="single" w:sz="4" w:space="0" w:color="000000"/>
            </w:tcBorders>
            <w:shd w:color="auto" w:fill="FFFFFF" w:val="clear"/>
          </w:tcPr>
          <w:p>
            <w:pPr>
              <w:pStyle w:val="Normal"/>
              <w:widowControl w:val="false"/>
              <w:spacing w:lineRule="auto" w:line="240" w:before="0" w:after="0"/>
              <w:jc w:val="center"/>
              <w:rPr/>
            </w:pPr>
            <w:r>
              <w:rPr>
                <w:rFonts w:ascii="Times New Roman" w:hAnsi="Times New Roman"/>
              </w:rPr>
              <w:t>237,7</w:t>
            </w:r>
          </w:p>
        </w:tc>
      </w:tr>
    </w:tbl>
    <w:p>
      <w:pPr>
        <w:pStyle w:val="Normal"/>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r>
    </w:p>
    <w:p>
      <w:pPr>
        <w:pStyle w:val="Normal"/>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r>
    </w:p>
    <w:p>
      <w:pPr>
        <w:pStyle w:val="Normal"/>
        <w:spacing w:before="0" w:after="0"/>
        <w:ind w:firstLine="567"/>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r>
    </w:p>
    <w:p>
      <w:pPr>
        <w:pStyle w:val="Normal"/>
        <w:spacing w:before="0" w:after="0"/>
        <w:ind w:firstLine="567"/>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46">
            <wp:simplePos x="0" y="0"/>
            <wp:positionH relativeFrom="column">
              <wp:posOffset>1033780</wp:posOffset>
            </wp:positionH>
            <wp:positionV relativeFrom="paragraph">
              <wp:posOffset>1270</wp:posOffset>
            </wp:positionV>
            <wp:extent cx="4185920" cy="2354580"/>
            <wp:effectExtent l="0" t="0" r="0" b="0"/>
            <wp:wrapSquare wrapText="largest"/>
            <wp:docPr id="13" name="Об'єкт17"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 xml:space="preserve">Рисунок 2.11. Споживання енергоресурсів третинним сектором Луцької МТГ </w:t>
      </w:r>
    </w:p>
    <w:p>
      <w:pPr>
        <w:pStyle w:val="Normal"/>
        <w:spacing w:lineRule="auto" w:line="240" w:before="0" w:after="0"/>
        <w:ind w:firstLine="510"/>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10"/>
        <w:jc w:val="both"/>
        <w:rPr/>
      </w:pPr>
      <w:r>
        <w:rPr>
          <w:rFonts w:eastAsia="NSimSun" w:cs="Times New Roman" w:ascii="Times New Roman" w:hAnsi="Times New Roman"/>
          <w:b/>
          <w:bCs/>
          <w:color w:val="000000"/>
          <w:kern w:val="2"/>
          <w:sz w:val="24"/>
          <w:szCs w:val="24"/>
          <w:shd w:fill="FFFFFF" w:val="clear"/>
          <w:lang w:eastAsia="zh-CN" w:bidi="hi-IN"/>
        </w:rPr>
        <w:t>2.3.10. Громадський транспорт та відповідна інфраструктура</w:t>
      </w:r>
    </w:p>
    <w:p>
      <w:pPr>
        <w:pStyle w:val="Normal"/>
        <w:spacing w:before="0" w:after="0"/>
        <w:ind w:firstLine="510"/>
        <w:jc w:val="both"/>
        <w:rPr/>
      </w:pPr>
      <w:r>
        <w:rPr>
          <w:rFonts w:eastAsia="NSimSun" w:cs="Times New Roman" w:ascii="Times New Roman" w:hAnsi="Times New Roman"/>
          <w:color w:val="000000"/>
          <w:kern w:val="2"/>
          <w:sz w:val="24"/>
          <w:szCs w:val="24"/>
          <w:lang w:eastAsia="zh-CN" w:bidi="hi-IN"/>
        </w:rPr>
        <w:t>Послуги міського громадського транспорту у Луцькій МТГ станом на 01.01.2025 надавалися комунальним підприємством «Луцьке підприємство електротранспорту» та 9 приватними перевізниками.</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 xml:space="preserve">На 01.01.2025 загальна кількість автобусів на міських маршрутах 124, в т .ч. 107 низькопідлогових автобусів з екологічним стандартом «Євро-5». На 9 тролейбусних маршрутах курсує 53 (14 нових) тролейбуси.  </w:t>
      </w:r>
    </w:p>
    <w:p>
      <w:pPr>
        <w:pStyle w:val="Normal"/>
        <w:spacing w:before="0" w:after="0"/>
        <w:ind w:firstLine="510"/>
        <w:jc w:val="both"/>
        <w:rPr/>
      </w:pPr>
      <w:r>
        <w:rPr>
          <w:rFonts w:eastAsia="NSimSun" w:cs="Times New Roman" w:ascii="Times New Roman" w:hAnsi="Times New Roman"/>
          <w:kern w:val="2"/>
          <w:sz w:val="24"/>
          <w:szCs w:val="24"/>
          <w:lang w:eastAsia="zh-CN" w:bidi="hi-IN"/>
        </w:rPr>
        <w:t>Дані зі споживання палива громадським транспортом у 2017-2024 роках представлені в таблиці 2.15 та на рисунку 2.12.</w:t>
      </w:r>
    </w:p>
    <w:p>
      <w:pPr>
        <w:pStyle w:val="Normal"/>
        <w:spacing w:before="0" w:after="0"/>
        <w:ind w:firstLine="510"/>
        <w:jc w:val="center"/>
        <w:rPr/>
      </w:pPr>
      <w:r>
        <w:rPr>
          <w:rFonts w:eastAsia="NSimSun" w:cs="Times New Roman" w:ascii="Times New Roman" w:hAnsi="Times New Roman"/>
          <w:color w:val="000000"/>
          <w:kern w:val="2"/>
          <w:sz w:val="24"/>
          <w:szCs w:val="24"/>
          <w:lang w:eastAsia="zh-CN" w:bidi="hi-IN"/>
        </w:rPr>
        <w:t xml:space="preserve">Таблиця 2.15. Споживання палива громадським транспортом у м. Луцьку, </w:t>
      </w:r>
      <w:r>
        <w:rPr>
          <w:rFonts w:eastAsia="Microsoft Sans Serif" w:cs="Times New Roman" w:ascii="Times New Roman" w:hAnsi="Times New Roman"/>
          <w:color w:val="000000"/>
          <w:kern w:val="2"/>
          <w:sz w:val="24"/>
          <w:szCs w:val="24"/>
          <w:shd w:fill="FFFFFF" w:val="clear"/>
          <w:lang w:eastAsia="zh-CN" w:bidi="hi-IN"/>
        </w:rPr>
        <w:t>МВт∙год</w:t>
      </w:r>
    </w:p>
    <w:tbl>
      <w:tblPr>
        <w:tblW w:w="9744"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2161"/>
        <w:gridCol w:w="948"/>
        <w:gridCol w:w="948"/>
        <w:gridCol w:w="946"/>
        <w:gridCol w:w="948"/>
        <w:gridCol w:w="948"/>
        <w:gridCol w:w="948"/>
        <w:gridCol w:w="948"/>
        <w:gridCol w:w="948"/>
      </w:tblGrid>
      <w:tr>
        <w:trPr/>
        <w:tc>
          <w:tcPr>
            <w:tcW w:w="216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94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94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94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94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94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94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94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94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216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Електроенергія</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7512,2</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7499,5</w:t>
            </w:r>
          </w:p>
        </w:tc>
        <w:tc>
          <w:tcPr>
            <w:tcW w:w="94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7107,8</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5272,8</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6189,9</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4680,1</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4859,2</w:t>
            </w:r>
          </w:p>
        </w:tc>
        <w:tc>
          <w:tcPr>
            <w:tcW w:w="94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4856,0</w:t>
            </w:r>
          </w:p>
        </w:tc>
      </w:tr>
      <w:tr>
        <w:trPr/>
        <w:tc>
          <w:tcPr>
            <w:tcW w:w="216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Бензин</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51,8</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25,9</w:t>
            </w:r>
          </w:p>
        </w:tc>
        <w:tc>
          <w:tcPr>
            <w:tcW w:w="946"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28,2</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22,2</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23,3</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17,5</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12,4</w:t>
            </w:r>
          </w:p>
        </w:tc>
        <w:tc>
          <w:tcPr>
            <w:tcW w:w="948"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9,6</w:t>
            </w:r>
          </w:p>
        </w:tc>
      </w:tr>
      <w:tr>
        <w:trPr/>
        <w:tc>
          <w:tcPr>
            <w:tcW w:w="216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Дизельне пальне</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27496,5</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27489,3</w:t>
            </w:r>
          </w:p>
        </w:tc>
        <w:tc>
          <w:tcPr>
            <w:tcW w:w="94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27489,7</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27461,8</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27459,3</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27434,8</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27475,6</w:t>
            </w:r>
          </w:p>
        </w:tc>
        <w:tc>
          <w:tcPr>
            <w:tcW w:w="94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33324,8</w:t>
            </w:r>
          </w:p>
        </w:tc>
      </w:tr>
      <w:tr>
        <w:trPr/>
        <w:tc>
          <w:tcPr>
            <w:tcW w:w="216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CNG (Метан)</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28,9</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26,5</w:t>
            </w:r>
          </w:p>
        </w:tc>
        <w:tc>
          <w:tcPr>
            <w:tcW w:w="94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30,2</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33,4</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29,8</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32,1</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30,8</w:t>
            </w:r>
          </w:p>
        </w:tc>
        <w:tc>
          <w:tcPr>
            <w:tcW w:w="94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649,0</w:t>
            </w:r>
          </w:p>
        </w:tc>
      </w:tr>
      <w:tr>
        <w:trPr/>
        <w:tc>
          <w:tcPr>
            <w:tcW w:w="216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LPG (Пропан-Бутан)</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89,1</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119,5</w:t>
            </w:r>
          </w:p>
        </w:tc>
        <w:tc>
          <w:tcPr>
            <w:tcW w:w="94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124,5</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134,5</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588,0</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265,8</w:t>
            </w:r>
          </w:p>
        </w:tc>
        <w:tc>
          <w:tcPr>
            <w:tcW w:w="94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516,2</w:t>
            </w:r>
          </w:p>
        </w:tc>
        <w:tc>
          <w:tcPr>
            <w:tcW w:w="94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42,8</w:t>
            </w:r>
          </w:p>
        </w:tc>
      </w:tr>
      <w:tr>
        <w:trPr/>
        <w:tc>
          <w:tcPr>
            <w:tcW w:w="216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Всього</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35178,6</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35160,7</w:t>
            </w:r>
          </w:p>
        </w:tc>
        <w:tc>
          <w:tcPr>
            <w:tcW w:w="946"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34780,4</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32924,8</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34290,3</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32430,3</w:t>
            </w:r>
          </w:p>
        </w:tc>
        <w:tc>
          <w:tcPr>
            <w:tcW w:w="948"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32894,3</w:t>
            </w:r>
          </w:p>
        </w:tc>
        <w:tc>
          <w:tcPr>
            <w:tcW w:w="948"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38882,3</w:t>
            </w:r>
          </w:p>
        </w:tc>
      </w:tr>
    </w:tbl>
    <w:p>
      <w:pPr>
        <w:pStyle w:val="Normal"/>
        <w:spacing w:before="0" w:after="0"/>
        <w:ind w:firstLine="510"/>
        <w:jc w:val="center"/>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61">
            <wp:simplePos x="0" y="0"/>
            <wp:positionH relativeFrom="column">
              <wp:align>center</wp:align>
            </wp:positionH>
            <wp:positionV relativeFrom="paragraph">
              <wp:posOffset>635</wp:posOffset>
            </wp:positionV>
            <wp:extent cx="4565015" cy="2566670"/>
            <wp:effectExtent l="0" t="0" r="0" b="0"/>
            <wp:wrapSquare wrapText="largest"/>
            <wp:docPr id="14" name="Об'єкт2"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rFonts w:ascii="Times New Roman" w:hAnsi="Times New Roman"/>
          <w:sz w:val="24"/>
          <w:szCs w:val="24"/>
        </w:rPr>
      </w:pPr>
      <w:r>
        <w:rPr>
          <w:rFonts w:ascii="Times New Roman" w:hAnsi="Times New Roman"/>
          <w:sz w:val="24"/>
          <w:szCs w:val="24"/>
        </w:rPr>
      </w:r>
    </w:p>
    <w:p>
      <w:pPr>
        <w:pStyle w:val="Normal"/>
        <w:spacing w:before="0" w:after="0"/>
        <w:ind w:firstLine="567"/>
        <w:jc w:val="center"/>
        <w:rPr/>
      </w:pPr>
      <w:r>
        <w:rPr>
          <w:rFonts w:eastAsia="NSimSun" w:cs="Times New Roman" w:ascii="Times New Roman" w:hAnsi="Times New Roman"/>
          <w:kern w:val="2"/>
          <w:sz w:val="24"/>
          <w:szCs w:val="24"/>
          <w:lang w:eastAsia="zh-CN" w:bidi="hi-IN"/>
        </w:rPr>
        <w:t xml:space="preserve">Рисунок 2.12. Споживання палива громадським транспортом, </w:t>
      </w:r>
      <w:r>
        <w:rPr>
          <w:rFonts w:eastAsia="Microsoft Sans Serif" w:cs="Times New Roman" w:ascii="Times New Roman" w:hAnsi="Times New Roman"/>
          <w:color w:val="000000"/>
          <w:kern w:val="2"/>
          <w:sz w:val="24"/>
          <w:szCs w:val="24"/>
          <w:shd w:fill="FFFFFF" w:val="clear"/>
          <w:lang w:eastAsia="zh-CN" w:bidi="hi-IN"/>
        </w:rPr>
        <w:t>МВт∙год</w:t>
      </w:r>
    </w:p>
    <w:p>
      <w:pPr>
        <w:pStyle w:val="Normal"/>
        <w:spacing w:lineRule="auto" w:line="240" w:before="0" w:after="0"/>
        <w:ind w:firstLine="510"/>
        <w:jc w:val="both"/>
        <w:rPr/>
      </w:pPr>
      <w:r>
        <w:rPr>
          <w:rFonts w:eastAsia="NSimSun" w:cs="Times New Roman" w:ascii="Times New Roman" w:hAnsi="Times New Roman"/>
          <w:b/>
          <w:bCs/>
          <w:color w:val="000000"/>
          <w:kern w:val="2"/>
          <w:sz w:val="24"/>
          <w:szCs w:val="24"/>
          <w:shd w:fill="FFFFFF" w:val="clear"/>
          <w:lang w:eastAsia="zh-CN" w:bidi="hi-IN"/>
        </w:rPr>
        <w:t>2.3.11. Муніципальний транспорт (крім транспорту для громадських перевезень)</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У Луцькій МТГ загальна кількість муніципальних транспортних засобів станом на 01.01.2025 складає</w:t>
      </w:r>
      <w:r>
        <w:rPr>
          <w:rFonts w:eastAsia="NSimSun" w:cs="Times New Roman" w:ascii="Times New Roman" w:hAnsi="Times New Roman"/>
          <w:color w:val="000000"/>
          <w:kern w:val="2"/>
          <w:sz w:val="24"/>
          <w:szCs w:val="24"/>
          <w:shd w:fill="FFFFFF" w:val="clear"/>
          <w:lang w:eastAsia="zh-CN" w:bidi="hi-IN"/>
        </w:rPr>
        <w:t xml:space="preserve"> понад 420 одиниць. </w:t>
      </w:r>
    </w:p>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 xml:space="preserve">Таблиця 2.16. Обсяги споживання палива муніципальним транспортом, </w:t>
      </w:r>
      <w:r>
        <w:rPr>
          <w:rFonts w:eastAsia="Microsoft Sans Serif" w:cs="Times New Roman" w:ascii="Times New Roman" w:hAnsi="Times New Roman"/>
          <w:color w:val="000000"/>
          <w:kern w:val="2"/>
          <w:sz w:val="24"/>
          <w:szCs w:val="24"/>
          <w:shd w:fill="FFFFFF" w:val="clear"/>
          <w:lang w:eastAsia="zh-CN" w:bidi="hi-IN"/>
        </w:rPr>
        <w:t>МВт∙год</w:t>
      </w:r>
    </w:p>
    <w:tbl>
      <w:tblPr>
        <w:tblW w:w="10143"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009"/>
        <w:gridCol w:w="1014"/>
        <w:gridCol w:w="1012"/>
        <w:gridCol w:w="1025"/>
        <w:gridCol w:w="1014"/>
        <w:gridCol w:w="1017"/>
        <w:gridCol w:w="1020"/>
        <w:gridCol w:w="1014"/>
        <w:gridCol w:w="1017"/>
      </w:tblGrid>
      <w:tr>
        <w:trPr/>
        <w:tc>
          <w:tcPr>
            <w:tcW w:w="200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Види палива</w:t>
            </w:r>
          </w:p>
        </w:tc>
        <w:tc>
          <w:tcPr>
            <w:tcW w:w="101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2017</w:t>
            </w:r>
          </w:p>
        </w:tc>
        <w:tc>
          <w:tcPr>
            <w:tcW w:w="1012"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2018</w:t>
            </w:r>
          </w:p>
        </w:tc>
        <w:tc>
          <w:tcPr>
            <w:tcW w:w="102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2019</w:t>
            </w:r>
          </w:p>
        </w:tc>
        <w:tc>
          <w:tcPr>
            <w:tcW w:w="101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2020</w:t>
            </w:r>
          </w:p>
        </w:tc>
        <w:tc>
          <w:tcPr>
            <w:tcW w:w="1017"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2021</w:t>
            </w:r>
          </w:p>
        </w:tc>
        <w:tc>
          <w:tcPr>
            <w:tcW w:w="10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2022</w:t>
            </w:r>
          </w:p>
        </w:tc>
        <w:tc>
          <w:tcPr>
            <w:tcW w:w="1014"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2023</w:t>
            </w:r>
          </w:p>
        </w:tc>
        <w:tc>
          <w:tcPr>
            <w:tcW w:w="1017"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2024</w:t>
            </w:r>
          </w:p>
        </w:tc>
      </w:tr>
      <w:tr>
        <w:trPr/>
        <w:tc>
          <w:tcPr>
            <w:tcW w:w="2009"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Бензин</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2101,8</w:t>
            </w:r>
          </w:p>
        </w:tc>
        <w:tc>
          <w:tcPr>
            <w:tcW w:w="1012"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1395,3</w:t>
            </w:r>
          </w:p>
        </w:tc>
        <w:tc>
          <w:tcPr>
            <w:tcW w:w="102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1830,8</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1859,5</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1718,0</w:t>
            </w:r>
          </w:p>
        </w:tc>
        <w:tc>
          <w:tcPr>
            <w:tcW w:w="1020"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1979,3</w:t>
            </w:r>
          </w:p>
        </w:tc>
        <w:tc>
          <w:tcPr>
            <w:tcW w:w="101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1996,2</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1956,0</w:t>
            </w:r>
          </w:p>
        </w:tc>
      </w:tr>
      <w:tr>
        <w:trPr/>
        <w:tc>
          <w:tcPr>
            <w:tcW w:w="2009"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Дизельне пальне</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1699,7</w:t>
            </w:r>
          </w:p>
        </w:tc>
        <w:tc>
          <w:tcPr>
            <w:tcW w:w="1012"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2090,1</w:t>
            </w:r>
          </w:p>
        </w:tc>
        <w:tc>
          <w:tcPr>
            <w:tcW w:w="102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1375,4</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1540,7</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1727,0</w:t>
            </w:r>
          </w:p>
        </w:tc>
        <w:tc>
          <w:tcPr>
            <w:tcW w:w="1020"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1647,8</w:t>
            </w:r>
          </w:p>
        </w:tc>
        <w:tc>
          <w:tcPr>
            <w:tcW w:w="101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2264,0</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2439,9</w:t>
            </w:r>
          </w:p>
        </w:tc>
      </w:tr>
      <w:tr>
        <w:trPr/>
        <w:tc>
          <w:tcPr>
            <w:tcW w:w="2009"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CNG (Метан)</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309,4</w:t>
            </w:r>
          </w:p>
        </w:tc>
        <w:tc>
          <w:tcPr>
            <w:tcW w:w="1012"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220,4</w:t>
            </w:r>
          </w:p>
        </w:tc>
        <w:tc>
          <w:tcPr>
            <w:tcW w:w="102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242,1</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248,4</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224,1</w:t>
            </w:r>
          </w:p>
        </w:tc>
        <w:tc>
          <w:tcPr>
            <w:tcW w:w="1020"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107,2</w:t>
            </w:r>
          </w:p>
        </w:tc>
        <w:tc>
          <w:tcPr>
            <w:tcW w:w="101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85,7</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111,4</w:t>
            </w:r>
          </w:p>
        </w:tc>
      </w:tr>
      <w:tr>
        <w:trPr/>
        <w:tc>
          <w:tcPr>
            <w:tcW w:w="2009"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LPG (Пропан-Бутан)</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720,8</w:t>
            </w:r>
          </w:p>
        </w:tc>
        <w:tc>
          <w:tcPr>
            <w:tcW w:w="1012"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639,6</w:t>
            </w:r>
          </w:p>
        </w:tc>
        <w:tc>
          <w:tcPr>
            <w:tcW w:w="102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582,9</w:t>
            </w:r>
          </w:p>
        </w:tc>
        <w:tc>
          <w:tcPr>
            <w:tcW w:w="101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578,9</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466,6</w:t>
            </w:r>
          </w:p>
        </w:tc>
        <w:tc>
          <w:tcPr>
            <w:tcW w:w="1020"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116,1</w:t>
            </w:r>
          </w:p>
        </w:tc>
        <w:tc>
          <w:tcPr>
            <w:tcW w:w="101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134,2</w:t>
            </w:r>
          </w:p>
        </w:tc>
        <w:tc>
          <w:tcPr>
            <w:tcW w:w="101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851,4</w:t>
            </w:r>
          </w:p>
        </w:tc>
      </w:tr>
    </w:tbl>
    <w:p>
      <w:pPr>
        <w:pStyle w:val="Normal"/>
        <w:rPr>
          <w:rFonts w:ascii="Times New Roman" w:hAnsi="Times New Roman" w:eastAsia="NSimSun" w:cs="Times New Roman"/>
          <w:color w:val="C9211E"/>
          <w:kern w:val="2"/>
          <w:sz w:val="24"/>
          <w:szCs w:val="24"/>
          <w:shd w:fill="FFFFFF" w:val="clear"/>
          <w:lang w:eastAsia="zh-CN" w:bidi="hi-IN"/>
        </w:rPr>
      </w:pPr>
      <w:r>
        <w:rPr>
          <w:rFonts w:ascii="Times New Roman" w:hAnsi="Times New Roman"/>
          <w:sz w:val="24"/>
          <w:szCs w:val="24"/>
        </w:rPr>
        <w:drawing>
          <wp:anchor behindDoc="0" distT="0" distB="0" distL="0" distR="0" simplePos="0" locked="0" layoutInCell="0" allowOverlap="1" relativeHeight="62">
            <wp:simplePos x="0" y="0"/>
            <wp:positionH relativeFrom="column">
              <wp:align>center</wp:align>
            </wp:positionH>
            <wp:positionV relativeFrom="paragraph">
              <wp:posOffset>635</wp:posOffset>
            </wp:positionV>
            <wp:extent cx="4073525" cy="2309495"/>
            <wp:effectExtent l="0" t="0" r="0" b="0"/>
            <wp:wrapSquare wrapText="largest"/>
            <wp:docPr id="15" name="Об'єкт1"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ind w:firstLine="51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jc w:val="center"/>
        <w:rPr/>
      </w:pPr>
      <w:r>
        <w:rPr>
          <w:rFonts w:eastAsia="NSimSun" w:cs="Times New Roman" w:ascii="Times New Roman" w:hAnsi="Times New Roman"/>
          <w:color w:val="000000"/>
          <w:kern w:val="2"/>
          <w:sz w:val="24"/>
          <w:szCs w:val="24"/>
          <w:shd w:fill="FFFFFF" w:val="clear"/>
          <w:lang w:eastAsia="zh-CN" w:bidi="hi-IN"/>
        </w:rPr>
        <w:t xml:space="preserve">Рисунок 2.13. Загальні обсяги споживання палива муніципальним транспортом, </w:t>
      </w:r>
      <w:r>
        <w:rPr>
          <w:rFonts w:eastAsia="Microsoft Sans Serif" w:cs="Times New Roman" w:ascii="Times New Roman" w:hAnsi="Times New Roman"/>
          <w:color w:val="000000"/>
          <w:kern w:val="2"/>
          <w:sz w:val="24"/>
          <w:szCs w:val="24"/>
          <w:shd w:fill="FFFFFF" w:val="clear"/>
          <w:lang w:eastAsia="zh-CN" w:bidi="hi-IN"/>
        </w:rPr>
        <w:t>МВт∙год</w:t>
      </w:r>
    </w:p>
    <w:p>
      <w:pPr>
        <w:pStyle w:val="Normal"/>
        <w:spacing w:lineRule="auto" w:line="240" w:before="0" w:after="0"/>
        <w:ind w:firstLine="510"/>
        <w:jc w:val="both"/>
        <w:rPr/>
      </w:pPr>
      <w:r>
        <w:rPr>
          <w:rFonts w:eastAsia="NSimSun" w:cs="Times New Roman" w:ascii="Times New Roman" w:hAnsi="Times New Roman"/>
          <w:b/>
          <w:bCs/>
          <w:color w:val="000000"/>
          <w:kern w:val="2"/>
          <w:sz w:val="24"/>
          <w:szCs w:val="24"/>
          <w:shd w:fill="FFFFFF" w:val="clear"/>
          <w:lang w:eastAsia="zh-CN" w:bidi="hi-IN"/>
        </w:rPr>
        <w:t xml:space="preserve">2.3.12. Приватний та комерційний транспорт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Дані споживання пального приватним та комерційним транспортом наведено в таблиці 2.17. та на рисунку 2.14., вказують на зростання об’єму споживання всіх видів транспорту. Це корелюється із загальноукраїнськими даними про зростання кількості транспорту у вказаному часовому діапазоні. </w:t>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 xml:space="preserve">Таблиця 2.17. Споживання палива приватним та комерційним транспортом, </w:t>
      </w:r>
      <w:r>
        <w:rPr>
          <w:rFonts w:eastAsia="Microsoft Sans Serif" w:cs="Times New Roman" w:ascii="Times New Roman" w:hAnsi="Times New Roman"/>
          <w:color w:val="000000"/>
          <w:kern w:val="2"/>
          <w:sz w:val="24"/>
          <w:szCs w:val="24"/>
          <w:shd w:fill="FFFFFF" w:val="clear"/>
        </w:rPr>
        <w:t>МВт∙год</w:t>
      </w:r>
    </w:p>
    <w:tbl>
      <w:tblPr>
        <w:tblW w:w="10484"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047"/>
        <w:gridCol w:w="1038"/>
        <w:gridCol w:w="979"/>
        <w:gridCol w:w="1123"/>
        <w:gridCol w:w="1081"/>
        <w:gridCol w:w="1173"/>
        <w:gridCol w:w="1037"/>
        <w:gridCol w:w="1000"/>
        <w:gridCol w:w="1005"/>
      </w:tblGrid>
      <w:tr>
        <w:trPr/>
        <w:tc>
          <w:tcPr>
            <w:tcW w:w="2047"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Види палива</w:t>
            </w:r>
          </w:p>
        </w:tc>
        <w:tc>
          <w:tcPr>
            <w:tcW w:w="103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2017</w:t>
            </w:r>
          </w:p>
        </w:tc>
        <w:tc>
          <w:tcPr>
            <w:tcW w:w="97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2018</w:t>
            </w:r>
          </w:p>
        </w:tc>
        <w:tc>
          <w:tcPr>
            <w:tcW w:w="112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2019</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2020</w:t>
            </w:r>
          </w:p>
        </w:tc>
        <w:tc>
          <w:tcPr>
            <w:tcW w:w="11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2021</w:t>
            </w:r>
          </w:p>
        </w:tc>
        <w:tc>
          <w:tcPr>
            <w:tcW w:w="1037"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2022</w:t>
            </w:r>
          </w:p>
        </w:tc>
        <w:tc>
          <w:tcPr>
            <w:tcW w:w="1000"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2023</w:t>
            </w:r>
          </w:p>
        </w:tc>
        <w:tc>
          <w:tcPr>
            <w:tcW w:w="10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2024</w:t>
            </w:r>
          </w:p>
        </w:tc>
      </w:tr>
      <w:tr>
        <w:trPr/>
        <w:tc>
          <w:tcPr>
            <w:tcW w:w="2047"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Електроенергія</w:t>
            </w:r>
          </w:p>
        </w:tc>
        <w:tc>
          <w:tcPr>
            <w:tcW w:w="103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753,0</w:t>
            </w:r>
          </w:p>
        </w:tc>
        <w:tc>
          <w:tcPr>
            <w:tcW w:w="979"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792,6</w:t>
            </w:r>
          </w:p>
        </w:tc>
        <w:tc>
          <w:tcPr>
            <w:tcW w:w="112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817,1</w:t>
            </w:r>
          </w:p>
        </w:tc>
        <w:tc>
          <w:tcPr>
            <w:tcW w:w="108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833,8</w:t>
            </w:r>
          </w:p>
        </w:tc>
        <w:tc>
          <w:tcPr>
            <w:tcW w:w="117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858,8</w:t>
            </w:r>
          </w:p>
        </w:tc>
        <w:tc>
          <w:tcPr>
            <w:tcW w:w="103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790,1</w:t>
            </w:r>
          </w:p>
        </w:tc>
        <w:tc>
          <w:tcPr>
            <w:tcW w:w="100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916,5</w:t>
            </w:r>
          </w:p>
        </w:tc>
        <w:tc>
          <w:tcPr>
            <w:tcW w:w="10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992,2</w:t>
            </w:r>
          </w:p>
        </w:tc>
      </w:tr>
      <w:tr>
        <w:trPr/>
        <w:tc>
          <w:tcPr>
            <w:tcW w:w="2047"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sz w:val="20"/>
                <w:szCs w:val="20"/>
              </w:rPr>
              <w:t>Бензин</w:t>
            </w:r>
          </w:p>
        </w:tc>
        <w:tc>
          <w:tcPr>
            <w:tcW w:w="103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79810,2</w:t>
            </w:r>
          </w:p>
        </w:tc>
        <w:tc>
          <w:tcPr>
            <w:tcW w:w="979"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84010,8</w:t>
            </w:r>
          </w:p>
        </w:tc>
        <w:tc>
          <w:tcPr>
            <w:tcW w:w="112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86609,0</w:t>
            </w:r>
          </w:p>
        </w:tc>
        <w:tc>
          <w:tcPr>
            <w:tcW w:w="108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88376,6</w:t>
            </w:r>
          </w:p>
        </w:tc>
        <w:tc>
          <w:tcPr>
            <w:tcW w:w="117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91027,9</w:t>
            </w:r>
          </w:p>
        </w:tc>
        <w:tc>
          <w:tcPr>
            <w:tcW w:w="103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83745,6</w:t>
            </w:r>
          </w:p>
        </w:tc>
        <w:tc>
          <w:tcPr>
            <w:tcW w:w="100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97145,0</w:t>
            </w:r>
          </w:p>
        </w:tc>
        <w:tc>
          <w:tcPr>
            <w:tcW w:w="10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104284,4</w:t>
            </w:r>
          </w:p>
        </w:tc>
      </w:tr>
      <w:tr>
        <w:trPr/>
        <w:tc>
          <w:tcPr>
            <w:tcW w:w="2047"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Дизельне пальне</w:t>
            </w:r>
          </w:p>
        </w:tc>
        <w:tc>
          <w:tcPr>
            <w:tcW w:w="103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93294,9</w:t>
            </w:r>
          </w:p>
        </w:tc>
        <w:tc>
          <w:tcPr>
            <w:tcW w:w="979"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98205,1</w:t>
            </w:r>
          </w:p>
        </w:tc>
        <w:tc>
          <w:tcPr>
            <w:tcW w:w="112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101242,4</w:t>
            </w:r>
          </w:p>
        </w:tc>
        <w:tc>
          <w:tcPr>
            <w:tcW w:w="108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103308,6</w:t>
            </w:r>
          </w:p>
        </w:tc>
        <w:tc>
          <w:tcPr>
            <w:tcW w:w="117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106407,8</w:t>
            </w:r>
          </w:p>
        </w:tc>
        <w:tc>
          <w:tcPr>
            <w:tcW w:w="103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97895,2</w:t>
            </w:r>
          </w:p>
        </w:tc>
        <w:tc>
          <w:tcPr>
            <w:tcW w:w="100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113558,5</w:t>
            </w:r>
          </w:p>
        </w:tc>
        <w:tc>
          <w:tcPr>
            <w:tcW w:w="10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121904,1</w:t>
            </w:r>
          </w:p>
        </w:tc>
      </w:tr>
      <w:tr>
        <w:trPr/>
        <w:tc>
          <w:tcPr>
            <w:tcW w:w="2047"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CNG (Метан)</w:t>
            </w:r>
          </w:p>
        </w:tc>
        <w:tc>
          <w:tcPr>
            <w:tcW w:w="103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3943,7</w:t>
            </w:r>
          </w:p>
        </w:tc>
        <w:tc>
          <w:tcPr>
            <w:tcW w:w="979"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4151,3</w:t>
            </w:r>
          </w:p>
        </w:tc>
        <w:tc>
          <w:tcPr>
            <w:tcW w:w="112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4279,6</w:t>
            </w:r>
          </w:p>
        </w:tc>
        <w:tc>
          <w:tcPr>
            <w:tcW w:w="108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4367,0</w:t>
            </w:r>
          </w:p>
        </w:tc>
        <w:tc>
          <w:tcPr>
            <w:tcW w:w="117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4498,0</w:t>
            </w:r>
          </w:p>
        </w:tc>
        <w:tc>
          <w:tcPr>
            <w:tcW w:w="103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4138,2</w:t>
            </w:r>
          </w:p>
        </w:tc>
        <w:tc>
          <w:tcPr>
            <w:tcW w:w="100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4800,3</w:t>
            </w:r>
          </w:p>
        </w:tc>
        <w:tc>
          <w:tcPr>
            <w:tcW w:w="10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5153,0</w:t>
            </w:r>
          </w:p>
        </w:tc>
      </w:tr>
      <w:tr>
        <w:trPr/>
        <w:tc>
          <w:tcPr>
            <w:tcW w:w="2047"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r>
            <w:r>
              <w:rPr>
                <w:rFonts w:ascii="Times New Roman" w:hAnsi="Times New Roman"/>
                <w:color w:val="000000"/>
                <w:sz w:val="20"/>
                <w:szCs w:val="20"/>
              </w:rPr>
              <w:drawing>
                <wp:anchor behindDoc="0" distT="0" distB="0" distL="0" distR="0" simplePos="0" locked="0" layoutInCell="0" allowOverlap="1" relativeHeight="63">
                  <wp:simplePos x="0" y="0"/>
                  <wp:positionH relativeFrom="column">
                    <wp:posOffset>1283335</wp:posOffset>
                  </wp:positionH>
                  <wp:positionV relativeFrom="paragraph">
                    <wp:posOffset>287020</wp:posOffset>
                  </wp:positionV>
                  <wp:extent cx="3954145" cy="2223135"/>
                  <wp:effectExtent l="0" t="0" r="0" b="0"/>
                  <wp:wrapSquare wrapText="largest"/>
                  <wp:docPr id="16" name="Об'єкт26"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t>LPG (Пропан-Бутан)</w:t>
            </w:r>
          </w:p>
        </w:tc>
        <w:tc>
          <w:tcPr>
            <w:tcW w:w="103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108,2</w:t>
            </w:r>
          </w:p>
        </w:tc>
        <w:tc>
          <w:tcPr>
            <w:tcW w:w="979"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113,9</w:t>
            </w:r>
          </w:p>
        </w:tc>
        <w:tc>
          <w:tcPr>
            <w:tcW w:w="112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117,4</w:t>
            </w:r>
          </w:p>
        </w:tc>
        <w:tc>
          <w:tcPr>
            <w:tcW w:w="108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119,8</w:t>
            </w:r>
          </w:p>
        </w:tc>
        <w:tc>
          <w:tcPr>
            <w:tcW w:w="117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123,4</w:t>
            </w:r>
          </w:p>
        </w:tc>
        <w:tc>
          <w:tcPr>
            <w:tcW w:w="1037"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113,5</w:t>
            </w:r>
          </w:p>
        </w:tc>
        <w:tc>
          <w:tcPr>
            <w:tcW w:w="100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131,7</w:t>
            </w:r>
          </w:p>
        </w:tc>
        <w:tc>
          <w:tcPr>
            <w:tcW w:w="10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141,4</w:t>
            </w:r>
          </w:p>
        </w:tc>
      </w:tr>
    </w:tbl>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sz w:val="24"/>
          <w:szCs w:val="24"/>
        </w:rPr>
      </w:pPr>
      <w:r>
        <w:rPr>
          <w:rFonts w:ascii="Times New Roman" w:hAnsi="Times New Roman"/>
          <w:sz w:val="24"/>
          <w:szCs w:val="24"/>
        </w:rPr>
      </w:r>
    </w:p>
    <w:p>
      <w:pPr>
        <w:pStyle w:val="Normal"/>
        <w:spacing w:before="0" w:after="0"/>
        <w:jc w:val="center"/>
        <w:rPr/>
      </w:pPr>
      <w:r>
        <w:rPr>
          <w:rFonts w:eastAsia="NSimSun" w:cs="Times New Roman" w:ascii="Times New Roman" w:hAnsi="Times New Roman"/>
          <w:color w:val="000000"/>
          <w:kern w:val="2"/>
          <w:sz w:val="24"/>
          <w:szCs w:val="24"/>
          <w:shd w:fill="FFFFFF" w:val="clear"/>
          <w:lang w:eastAsia="zh-CN" w:bidi="hi-IN"/>
        </w:rPr>
        <w:t xml:space="preserve">Рисунок 2.14. Споживання пального приватним та комерційним транспортом, </w:t>
      </w:r>
      <w:r>
        <w:rPr>
          <w:rFonts w:eastAsia="Microsoft Sans Serif" w:cs="Times New Roman" w:ascii="Times New Roman" w:hAnsi="Times New Roman"/>
          <w:color w:val="000000"/>
          <w:kern w:val="2"/>
          <w:sz w:val="24"/>
          <w:szCs w:val="24"/>
          <w:shd w:fill="FFFFFF" w:val="clear"/>
          <w:lang w:eastAsia="zh-CN" w:bidi="hi-IN"/>
        </w:rPr>
        <w:t>МВт∙год</w:t>
      </w:r>
      <w:r>
        <w:rPr>
          <w:rFonts w:eastAsia="NSimSun" w:cs="Times New Roman" w:ascii="Times New Roman" w:hAnsi="Times New Roman"/>
          <w:color w:val="000000"/>
          <w:kern w:val="2"/>
          <w:sz w:val="24"/>
          <w:szCs w:val="24"/>
          <w:shd w:fill="FFFFFF" w:val="clear"/>
          <w:lang w:eastAsia="zh-CN" w:bidi="hi-IN"/>
        </w:rPr>
        <w:t xml:space="preserve"> </w:t>
      </w:r>
    </w:p>
    <w:p>
      <w:pPr>
        <w:pStyle w:val="111"/>
        <w:numPr>
          <w:ilvl w:val="0"/>
          <w:numId w:val="3"/>
        </w:numPr>
        <w:spacing w:before="0" w:after="0"/>
        <w:ind w:firstLine="624" w:start="0"/>
        <w:rPr>
          <w:sz w:val="24"/>
          <w:szCs w:val="24"/>
        </w:rPr>
      </w:pPr>
      <w:bookmarkStart w:id="29" w:name="__RefHeading___Toc27542_429042107_копія_"/>
      <w:bookmarkStart w:id="30" w:name="_Toc188020968_копія_1"/>
      <w:bookmarkEnd w:id="29"/>
      <w:r>
        <w:rPr>
          <w:rFonts w:cs="Times New Roman" w:ascii="Times New Roman" w:hAnsi="Times New Roman"/>
          <w:b/>
          <w:bCs/>
          <w:color w:val="000000"/>
          <w:sz w:val="24"/>
          <w:szCs w:val="24"/>
          <w:lang w:eastAsia="uk-UA"/>
        </w:rPr>
        <w:t>Стан запровадження енергетичного менеджменту</w:t>
      </w:r>
      <w:bookmarkStart w:id="31" w:name="_Toc188020968"/>
      <w:bookmarkEnd w:id="30"/>
      <w:bookmarkEnd w:id="31"/>
    </w:p>
    <w:p>
      <w:pPr>
        <w:pStyle w:val="Normal"/>
        <w:spacing w:before="0" w:after="0"/>
        <w:ind w:firstLine="567"/>
        <w:jc w:val="both"/>
        <w:rPr/>
      </w:pPr>
      <w:r>
        <w:rPr>
          <w:rFonts w:cs="Times New Roman" w:ascii="Times New Roman" w:hAnsi="Times New Roman"/>
          <w:sz w:val="24"/>
          <w:szCs w:val="24"/>
        </w:rPr>
        <w:t xml:space="preserve">Система енергоменеджменту в м. Луцьку діє з 2012 року та охоплює 98 % бюджетних закладів. Моніторинг споживання енергоресурсів здійснюється з 2008 року. </w:t>
      </w:r>
    </w:p>
    <w:p>
      <w:pPr>
        <w:pStyle w:val="Normal"/>
        <w:spacing w:before="0" w:after="0"/>
        <w:ind w:firstLine="567"/>
        <w:jc w:val="both"/>
        <w:rPr/>
      </w:pPr>
      <w:r>
        <w:rPr>
          <w:rFonts w:cs="Times New Roman" w:ascii="Times New Roman" w:hAnsi="Times New Roman"/>
          <w:sz w:val="24"/>
          <w:szCs w:val="24"/>
        </w:rPr>
        <w:t xml:space="preserve">Функції енергетичного менеджменту покладено на відділ аналітики та моніторингу внутрішньої діяльності департаменту економічної політики Луцької міської ради (штат 3 особи), що входить до структури департаменту економічної політики Луцької міської ради. </w:t>
      </w:r>
    </w:p>
    <w:p>
      <w:pPr>
        <w:pStyle w:val="Normal"/>
        <w:spacing w:before="0" w:after="0"/>
        <w:ind w:firstLine="567"/>
        <w:jc w:val="both"/>
        <w:rPr/>
      </w:pPr>
      <w:r>
        <w:rPr>
          <w:rFonts w:cs="Times New Roman" w:ascii="Times New Roman" w:hAnsi="Times New Roman"/>
          <w:sz w:val="24"/>
          <w:szCs w:val="24"/>
        </w:rPr>
        <w:t>Система енергомоніторингу, як частина системи енергетичного менеджменту охоплює 178 установ та закладів, що мають у своєму володінні та/або користуванні 276 будівель.</w:t>
      </w:r>
    </w:p>
    <w:p>
      <w:pPr>
        <w:pStyle w:val="Normal"/>
        <w:spacing w:before="0" w:after="0"/>
        <w:ind w:firstLine="567"/>
        <w:jc w:val="both"/>
        <w:rPr/>
      </w:pPr>
      <w:r>
        <w:rPr>
          <w:rFonts w:cs="Times New Roman" w:ascii="Times New Roman" w:hAnsi="Times New Roman"/>
          <w:sz w:val="24"/>
          <w:szCs w:val="24"/>
        </w:rPr>
        <w:t>Для енергомоніторингу використовується програмне забезпечення «Енергоплан» з онлайн введенням показників енергоспоживання відповідальними працівниками бюджетних будівель, дані вносяться два рази на тиждень.</w:t>
      </w:r>
    </w:p>
    <w:p>
      <w:pPr>
        <w:pStyle w:val="Normal"/>
        <w:spacing w:before="0" w:after="0"/>
        <w:ind w:firstLine="567"/>
        <w:jc w:val="both"/>
        <w:rPr/>
      </w:pPr>
      <w:r>
        <w:rPr>
          <w:rFonts w:cs="Times New Roman" w:ascii="Times New Roman" w:hAnsi="Times New Roman"/>
          <w:sz w:val="24"/>
          <w:szCs w:val="24"/>
        </w:rPr>
        <w:t>Інформація щодо енергоспоживання бюджетними закладами щомісячно подається на розгляд заступнику міського голови у вигляді рейтингу від найбільш енергозатратних установ до найенергоефективніших.</w:t>
      </w:r>
    </w:p>
    <w:p>
      <w:pPr>
        <w:sectPr>
          <w:footerReference w:type="default" r:id="rId22"/>
          <w:type w:val="nextPage"/>
          <w:pgSz w:w="11906" w:h="16838"/>
          <w:pgMar w:left="1701" w:right="567" w:gutter="0" w:header="0" w:top="1134" w:footer="0" w:bottom="1134"/>
          <w:pgNumType w:fmt="decimal"/>
          <w:formProt w:val="false"/>
          <w:titlePg/>
          <w:textDirection w:val="lrTb"/>
          <w:docGrid w:type="default" w:linePitch="360" w:charSpace="40960"/>
        </w:sectPr>
        <w:pStyle w:val="Normal"/>
        <w:spacing w:before="0" w:after="0"/>
        <w:ind w:firstLine="567"/>
        <w:jc w:val="both"/>
        <w:rPr/>
      </w:pPr>
      <w:r>
        <w:rPr>
          <w:rFonts w:cs="Times New Roman" w:ascii="Times New Roman" w:hAnsi="Times New Roman"/>
          <w:sz w:val="24"/>
          <w:szCs w:val="24"/>
        </w:rPr>
        <w:t>В Луцьку відносний показник забезпечення споживачів електроенергії та газу вузлами комерційного обліку складає 100 %.</w:t>
      </w:r>
    </w:p>
    <w:p>
      <w:pPr>
        <w:pStyle w:val="111"/>
        <w:numPr>
          <w:ilvl w:val="1"/>
          <w:numId w:val="5"/>
        </w:numPr>
        <w:rPr/>
      </w:pPr>
      <w:bookmarkStart w:id="32" w:name="__RefHeading___Toc27546_429042107"/>
      <w:bookmarkStart w:id="33" w:name="_Toc188020969"/>
      <w:bookmarkStart w:id="34" w:name="n420"/>
      <w:bookmarkEnd w:id="32"/>
      <w:bookmarkEnd w:id="34"/>
      <w:r>
        <w:rPr>
          <w:rFonts w:cs="Times New Roman" w:ascii="Times New Roman" w:hAnsi="Times New Roman"/>
          <w:b/>
          <w:bCs/>
          <w:color w:val="auto"/>
          <w:sz w:val="24"/>
          <w:szCs w:val="24"/>
          <w:lang w:eastAsia="uk-UA"/>
        </w:rPr>
        <w:t>Зведений енергетичний баланс</w:t>
      </w:r>
      <w:bookmarkEnd w:id="33"/>
    </w:p>
    <w:p>
      <w:pPr>
        <w:pStyle w:val="Normal"/>
        <w:widowControl w:val="false"/>
        <w:spacing w:before="0" w:after="0"/>
        <w:ind w:firstLine="567"/>
        <w:jc w:val="both"/>
        <w:rPr/>
      </w:pPr>
      <w:r>
        <w:rPr>
          <w:rFonts w:cs="Times New Roman" w:ascii="Times New Roman" w:hAnsi="Times New Roman"/>
          <w:sz w:val="24"/>
          <w:szCs w:val="28"/>
          <w:shd w:fill="FFFFFF" w:val="clear"/>
        </w:rPr>
        <w:t>За результатами збору інформації щодо структури енергоспоживання наведений баланс енергоспоживання за секторами кінцевих споживачів Луцької МТГ за період 2017-2024 роки відповідно до Методики розроблення місцевих енергетичних планів.</w:t>
      </w:r>
    </w:p>
    <w:p>
      <w:pPr>
        <w:pStyle w:val="Normal"/>
        <w:widowControl w:val="false"/>
        <w:spacing w:before="0" w:after="0"/>
        <w:jc w:val="center"/>
        <w:rPr/>
      </w:pPr>
      <w:r>
        <w:rPr>
          <w:rFonts w:cs="Times New Roman" w:ascii="Times New Roman" w:hAnsi="Times New Roman"/>
          <w:sz w:val="24"/>
          <w:szCs w:val="28"/>
          <w:lang w:eastAsia="uk-UA"/>
        </w:rPr>
        <w:t>Таблиця 2.18. Зведений енергетичний баланс кінцевих споживачів, що знаходяться в Луцькій МТГ, МВт·год</w:t>
      </w:r>
    </w:p>
    <w:tbl>
      <w:tblPr>
        <w:tblW w:w="1479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145"/>
        <w:gridCol w:w="1420"/>
        <w:gridCol w:w="1358"/>
        <w:gridCol w:w="1304"/>
        <w:gridCol w:w="1263"/>
        <w:gridCol w:w="1405"/>
        <w:gridCol w:w="1433"/>
        <w:gridCol w:w="1369"/>
        <w:gridCol w:w="1091"/>
      </w:tblGrid>
      <w:tr>
        <w:trPr>
          <w:trHeight w:val="324"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Сектори кінцевих споживачів енергетичного планування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2017</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2018</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2019</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2020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2021</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2022</w:t>
            </w:r>
          </w:p>
        </w:tc>
        <w:tc>
          <w:tcPr>
            <w:tcW w:w="1369"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2023</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2024</w:t>
            </w:r>
          </w:p>
        </w:tc>
      </w:tr>
      <w:tr>
        <w:trPr>
          <w:trHeight w:val="80"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Громадські будівлі</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Тепло</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63848,70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62220,50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54544,70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57219,60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49543,80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48497,10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47101,50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48697,70</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Природний газ</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36651,89</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32892,42</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29124,96</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27048,65</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29128,63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23938,58</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27544,91</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27583,80</w:t>
            </w:r>
          </w:p>
        </w:tc>
      </w:tr>
      <w:tr>
        <w:trPr>
          <w:trHeight w:val="122"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25607,00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29821,00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28380,00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25006,00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30955,00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29762,00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26588,00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22121,70</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Деревина</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0,00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0,00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0,00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0,00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655,23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879,06</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1655,89</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1712,00</w:t>
            </w:r>
          </w:p>
        </w:tc>
      </w:tr>
      <w:tr>
        <w:trPr>
          <w:trHeight w:val="60"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Об'єкти водопостачання та водовідведення</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18000,00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18200,00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17700,00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18100,00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18300,00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16200,00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17938,00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16757,00</w:t>
            </w:r>
          </w:p>
        </w:tc>
      </w:tr>
      <w:tr>
        <w:trPr>
          <w:trHeight w:val="60"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Об’єкти зовнішнього освітлення</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3508,00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3465,00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3619,00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3936,00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4820,00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3528,00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3424,90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3931,80</w:t>
            </w:r>
          </w:p>
        </w:tc>
      </w:tr>
      <w:tr>
        <w:trPr>
          <w:trHeight w:val="288"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Житлові будівлі</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Тепло</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432519,70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454384,10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344713,20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360297,40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370880,70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301100,70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297844,30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304099,40</w:t>
            </w:r>
          </w:p>
        </w:tc>
      </w:tr>
      <w:tr>
        <w:trPr>
          <w:trHeight w:val="60" w:hRule="atLeast"/>
        </w:trPr>
        <w:tc>
          <w:tcPr>
            <w:tcW w:w="4145"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Природний газ</w:t>
            </w:r>
          </w:p>
        </w:tc>
        <w:tc>
          <w:tcPr>
            <w:tcW w:w="1420"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755331,32</w:t>
            </w:r>
          </w:p>
        </w:tc>
        <w:tc>
          <w:tcPr>
            <w:tcW w:w="135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697492,11</w:t>
            </w:r>
          </w:p>
        </w:tc>
        <w:tc>
          <w:tcPr>
            <w:tcW w:w="130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585261,14</w:t>
            </w:r>
          </w:p>
        </w:tc>
        <w:tc>
          <w:tcPr>
            <w:tcW w:w="126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635139,69</w:t>
            </w:r>
          </w:p>
        </w:tc>
        <w:tc>
          <w:tcPr>
            <w:tcW w:w="14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660366,12</w:t>
            </w:r>
          </w:p>
        </w:tc>
        <w:tc>
          <w:tcPr>
            <w:tcW w:w="143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657293,05</w:t>
            </w:r>
          </w:p>
        </w:tc>
        <w:tc>
          <w:tcPr>
            <w:tcW w:w="1369"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665976,08</w:t>
            </w:r>
          </w:p>
        </w:tc>
        <w:tc>
          <w:tcPr>
            <w:tcW w:w="109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642862,50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136043,20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136876,20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139404,00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216234,20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234766,20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229797,20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152118,80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148908,60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Деревина</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74194,70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76489,38</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78855,03</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81293,84</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81385,94</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81478,04</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81885,43</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83605,10</w:t>
            </w:r>
          </w:p>
        </w:tc>
      </w:tr>
      <w:tr>
        <w:trPr>
          <w:trHeight w:val="342"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Об'єкти у сфері теплопостачання (в частині споживання електричної енергії для потреб транспортування і розподілу теплової енергії)</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20183,87</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19962,97</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19332,24</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20253,21</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19519,43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16978,46</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14795,70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14428,30</w:t>
            </w:r>
          </w:p>
        </w:tc>
      </w:tr>
      <w:tr>
        <w:trPr>
          <w:trHeight w:val="288"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Об'єкти з управління побутовими відходами</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Бензин</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284,36</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318,22</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305,46</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226,80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83,73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70,75</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64,69</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368,00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Дизельне пальне</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3360,44</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3801,02</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4280,01</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4575,16</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4349,13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4115,64</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4862,75</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6551,10</w:t>
            </w:r>
          </w:p>
        </w:tc>
      </w:tr>
      <w:tr>
        <w:trPr>
          <w:trHeight w:val="288" w:hRule="atLeast"/>
        </w:trPr>
        <w:tc>
          <w:tcPr>
            <w:tcW w:w="4145" w:type="dxa"/>
            <w:tcBorders>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LPG (Пропан-Бутан)</w:t>
            </w:r>
          </w:p>
        </w:tc>
        <w:tc>
          <w:tcPr>
            <w:tcW w:w="1420"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53,13</w:t>
            </w:r>
          </w:p>
        </w:tc>
        <w:tc>
          <w:tcPr>
            <w:tcW w:w="135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22,50</w:t>
            </w:r>
          </w:p>
        </w:tc>
        <w:tc>
          <w:tcPr>
            <w:tcW w:w="130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45,10</w:t>
            </w:r>
          </w:p>
        </w:tc>
        <w:tc>
          <w:tcPr>
            <w:tcW w:w="126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20,82</w:t>
            </w:r>
          </w:p>
        </w:tc>
        <w:tc>
          <w:tcPr>
            <w:tcW w:w="14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30,26</w:t>
            </w:r>
          </w:p>
        </w:tc>
        <w:tc>
          <w:tcPr>
            <w:tcW w:w="143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29,82</w:t>
            </w:r>
          </w:p>
        </w:tc>
        <w:tc>
          <w:tcPr>
            <w:tcW w:w="1369"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59,91</w:t>
            </w:r>
          </w:p>
        </w:tc>
        <w:tc>
          <w:tcPr>
            <w:tcW w:w="109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146,80</w:t>
            </w:r>
          </w:p>
        </w:tc>
      </w:tr>
      <w:tr>
        <w:trPr>
          <w:trHeight w:val="60"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Третинний сектор</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Тепло</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23667,05</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21480,61</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14735,21</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12979,08</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15049,22</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9536,60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12327,80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10898,80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Природний газ</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30278,38</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27599,43</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25979,59</w:t>
            </w:r>
          </w:p>
        </w:tc>
        <w:tc>
          <w:tcPr>
            <w:tcW w:w="126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193260,57</w:t>
            </w:r>
          </w:p>
        </w:tc>
        <w:tc>
          <w:tcPr>
            <w:tcW w:w="14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182752,69</w:t>
            </w:r>
          </w:p>
        </w:tc>
        <w:tc>
          <w:tcPr>
            <w:tcW w:w="143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124101,71</w:t>
            </w:r>
          </w:p>
        </w:tc>
        <w:tc>
          <w:tcPr>
            <w:tcW w:w="1369"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338868,86</w:t>
            </w:r>
          </w:p>
        </w:tc>
        <w:tc>
          <w:tcPr>
            <w:tcW w:w="109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371517,20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289693,00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306380,00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241075,00</w:t>
            </w:r>
          </w:p>
        </w:tc>
        <w:tc>
          <w:tcPr>
            <w:tcW w:w="126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318766,00</w:t>
            </w:r>
          </w:p>
        </w:tc>
        <w:tc>
          <w:tcPr>
            <w:tcW w:w="14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367085,00</w:t>
            </w:r>
          </w:p>
        </w:tc>
        <w:tc>
          <w:tcPr>
            <w:tcW w:w="143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306496,00</w:t>
            </w:r>
          </w:p>
        </w:tc>
        <w:tc>
          <w:tcPr>
            <w:tcW w:w="1369"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214391,00</w:t>
            </w:r>
          </w:p>
        </w:tc>
        <w:tc>
          <w:tcPr>
            <w:tcW w:w="109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237718,70</w:t>
            </w:r>
          </w:p>
        </w:tc>
      </w:tr>
      <w:tr>
        <w:trPr>
          <w:trHeight w:val="60"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Громадський транспорт та відповідна інфраструктура</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Електроенергія</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7512,20</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7499,50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7107,80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5272,80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6189,90</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4680,10</w:t>
            </w:r>
          </w:p>
        </w:tc>
        <w:tc>
          <w:tcPr>
            <w:tcW w:w="1369" w:type="dxa"/>
            <w:tcBorders>
              <w:top w:val="single" w:sz="4" w:space="0" w:color="000000"/>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4859,20</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4856,00</w:t>
            </w:r>
          </w:p>
        </w:tc>
      </w:tr>
      <w:tr>
        <w:trPr>
          <w:trHeight w:val="273"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Бензин</w:t>
            </w:r>
          </w:p>
        </w:tc>
        <w:tc>
          <w:tcPr>
            <w:tcW w:w="1420"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51,8</w:t>
            </w:r>
          </w:p>
        </w:tc>
        <w:tc>
          <w:tcPr>
            <w:tcW w:w="1358"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25,9</w:t>
            </w:r>
          </w:p>
        </w:tc>
        <w:tc>
          <w:tcPr>
            <w:tcW w:w="1304"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28,2</w:t>
            </w:r>
          </w:p>
        </w:tc>
        <w:tc>
          <w:tcPr>
            <w:tcW w:w="1263"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22,2</w:t>
            </w:r>
          </w:p>
        </w:tc>
        <w:tc>
          <w:tcPr>
            <w:tcW w:w="1405"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23,3</w:t>
            </w:r>
          </w:p>
        </w:tc>
        <w:tc>
          <w:tcPr>
            <w:tcW w:w="1433"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17,5</w:t>
            </w:r>
          </w:p>
        </w:tc>
        <w:tc>
          <w:tcPr>
            <w:tcW w:w="1369" w:type="dxa"/>
            <w:tcBorders>
              <w:top w:val="single" w:sz="4" w:space="0" w:color="000000"/>
              <w:start w:val="single" w:sz="4" w:space="0" w:color="000000"/>
              <w:bottom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12,4</w:t>
            </w:r>
          </w:p>
        </w:tc>
        <w:tc>
          <w:tcPr>
            <w:tcW w:w="1091" w:type="dxa"/>
            <w:tcBorders>
              <w:top w:val="single" w:sz="4" w:space="0" w:color="000000"/>
              <w:start w:val="single" w:sz="4" w:space="0" w:color="000000"/>
              <w:bottom w:val="single" w:sz="4" w:space="0" w:color="000000"/>
              <w:end w:val="single" w:sz="4" w:space="0" w:color="000000"/>
            </w:tcBorders>
            <w:vAlign w:val="bottom"/>
          </w:tcPr>
          <w:p>
            <w:pPr>
              <w:pStyle w:val="Normal"/>
              <w:spacing w:before="0" w:after="0"/>
              <w:jc w:val="center"/>
              <w:rPr/>
            </w:pPr>
            <w:r>
              <w:rPr>
                <w:rFonts w:cs="Times New Roman" w:ascii="Times New Roman" w:hAnsi="Times New Roman"/>
                <w:color w:val="000000"/>
                <w:sz w:val="20"/>
                <w:szCs w:val="20"/>
              </w:rPr>
              <w:t>9,6</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Дизельне пальне</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27496,53</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27489,34</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27489,69</w:t>
            </w:r>
          </w:p>
        </w:tc>
        <w:tc>
          <w:tcPr>
            <w:tcW w:w="126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27461,83</w:t>
            </w:r>
          </w:p>
        </w:tc>
        <w:tc>
          <w:tcPr>
            <w:tcW w:w="1405"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27459,26</w:t>
            </w:r>
          </w:p>
        </w:tc>
        <w:tc>
          <w:tcPr>
            <w:tcW w:w="143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27434,75</w:t>
            </w:r>
          </w:p>
        </w:tc>
        <w:tc>
          <w:tcPr>
            <w:tcW w:w="1369"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27475,65</w:t>
            </w:r>
          </w:p>
        </w:tc>
        <w:tc>
          <w:tcPr>
            <w:tcW w:w="1091"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33324,80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CNG (Метан)</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28,89</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26,47</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30,21</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33,40</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29,83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32,08</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30,81</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649,00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LPG (Пропан-Бутан)</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89,15</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119,50</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124,50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134,51</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588,02</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265,83</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516,19</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42,80</w:t>
            </w:r>
          </w:p>
        </w:tc>
      </w:tr>
      <w:tr>
        <w:trPr>
          <w:trHeight w:val="288"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Інший транспорт, в тому числі</w:t>
            </w:r>
          </w:p>
        </w:tc>
      </w:tr>
      <w:tr>
        <w:trPr>
          <w:trHeight w:val="331"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eastAsia="Times New Roman" w:cs="Times New Roman" w:ascii="Times New Roman" w:hAnsi="Times New Roman"/>
                <w:color w:val="000000"/>
                <w:sz w:val="20"/>
                <w:szCs w:val="20"/>
                <w:lang w:eastAsia="uk-UA"/>
              </w:rPr>
              <w:t>Муніципальний транспорт (крім транспорту для громадських перевезень)</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Бензин</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2101,78</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1395,31</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1830,78</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1859,46</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1718,02</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1979,29</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1996,23</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1956,00</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Дизельне пальне</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1699,74</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2090,05</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1375,36</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1540,69</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1726,96</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1647,85</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2263,98</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2439,90</w:t>
            </w:r>
          </w:p>
        </w:tc>
      </w:tr>
      <w:tr>
        <w:trPr>
          <w:trHeight w:val="60"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CNG (Метан)</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309,41</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220,43</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242,06</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248,39</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224,08</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107,18</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85,67</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111,40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rPr/>
            </w:pPr>
            <w:r>
              <w:rPr>
                <w:rFonts w:ascii="Times New Roman" w:hAnsi="Times New Roman"/>
                <w:color w:val="000000"/>
                <w:sz w:val="20"/>
                <w:szCs w:val="20"/>
              </w:rPr>
              <w:t>LPG (Пропан-Бутан)</w:t>
            </w:r>
          </w:p>
        </w:tc>
        <w:tc>
          <w:tcPr>
            <w:tcW w:w="1420"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720,83</w:t>
            </w:r>
          </w:p>
        </w:tc>
        <w:tc>
          <w:tcPr>
            <w:tcW w:w="1358"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639,61</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582,90</w:t>
            </w:r>
          </w:p>
        </w:tc>
        <w:tc>
          <w:tcPr>
            <w:tcW w:w="126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578,95</w:t>
            </w:r>
          </w:p>
        </w:tc>
        <w:tc>
          <w:tcPr>
            <w:tcW w:w="140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466,63</w:t>
            </w:r>
          </w:p>
        </w:tc>
        <w:tc>
          <w:tcPr>
            <w:tcW w:w="143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116,06</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134,19</w:t>
            </w:r>
          </w:p>
        </w:tc>
        <w:tc>
          <w:tcPr>
            <w:tcW w:w="1091"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851,40</w:t>
            </w:r>
          </w:p>
        </w:tc>
      </w:tr>
      <w:tr>
        <w:trPr>
          <w:trHeight w:val="288" w:hRule="atLeast"/>
        </w:trPr>
        <w:tc>
          <w:tcPr>
            <w:tcW w:w="14788" w:type="dxa"/>
            <w:gridSpan w:val="9"/>
            <w:tcBorders>
              <w:top w:val="single" w:sz="4" w:space="0" w:color="000000"/>
              <w:start w:val="single" w:sz="4" w:space="0" w:color="000000"/>
              <w:bottom w:val="single" w:sz="4" w:space="0" w:color="000000"/>
              <w:end w:val="single" w:sz="4" w:space="0" w:color="000000"/>
            </w:tcBorders>
            <w:shd w:color="auto" w:fill="F2F2F2" w:val="clear"/>
            <w:vAlign w:val="center"/>
          </w:tcPr>
          <w:p>
            <w:pPr>
              <w:pStyle w:val="Style25"/>
              <w:spacing w:before="0" w:after="0"/>
              <w:rPr/>
            </w:pPr>
            <w:r>
              <w:rPr>
                <w:rFonts w:ascii="Times New Roman" w:hAnsi="Times New Roman"/>
                <w:color w:val="000000"/>
                <w:sz w:val="20"/>
                <w:szCs w:val="20"/>
              </w:rPr>
              <w:t>Приватний та комерційний транспорт</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rPr/>
            </w:pPr>
            <w:r>
              <w:rPr>
                <w:rFonts w:ascii="Times New Roman" w:hAnsi="Times New Roman"/>
                <w:color w:val="000000"/>
                <w:sz w:val="20"/>
                <w:szCs w:val="20"/>
              </w:rPr>
              <w:t>Електроенергія</w:t>
            </w:r>
          </w:p>
        </w:tc>
        <w:tc>
          <w:tcPr>
            <w:tcW w:w="14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752,97</w:t>
            </w:r>
          </w:p>
        </w:tc>
        <w:tc>
          <w:tcPr>
            <w:tcW w:w="135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792,60</w:t>
            </w:r>
          </w:p>
        </w:tc>
        <w:tc>
          <w:tcPr>
            <w:tcW w:w="13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817,12</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833,79</w:t>
            </w:r>
          </w:p>
        </w:tc>
        <w:tc>
          <w:tcPr>
            <w:tcW w:w="14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858,81</w:t>
            </w:r>
          </w:p>
        </w:tc>
        <w:tc>
          <w:tcPr>
            <w:tcW w:w="143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790,10</w:t>
            </w:r>
          </w:p>
        </w:tc>
        <w:tc>
          <w:tcPr>
            <w:tcW w:w="13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916,52</w:t>
            </w:r>
          </w:p>
        </w:tc>
        <w:tc>
          <w:tcPr>
            <w:tcW w:w="10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992,20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rPr/>
            </w:pPr>
            <w:r>
              <w:rPr>
                <w:rFonts w:ascii="Times New Roman" w:hAnsi="Times New Roman"/>
                <w:color w:val="000000"/>
                <w:sz w:val="20"/>
                <w:szCs w:val="20"/>
              </w:rPr>
              <w:t>Бензин</w:t>
            </w:r>
          </w:p>
        </w:tc>
        <w:tc>
          <w:tcPr>
            <w:tcW w:w="14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79810,24</w:t>
            </w:r>
          </w:p>
        </w:tc>
        <w:tc>
          <w:tcPr>
            <w:tcW w:w="135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84010,78</w:t>
            </w:r>
          </w:p>
        </w:tc>
        <w:tc>
          <w:tcPr>
            <w:tcW w:w="13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86609,05</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88376,58</w:t>
            </w:r>
          </w:p>
        </w:tc>
        <w:tc>
          <w:tcPr>
            <w:tcW w:w="14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91027,88</w:t>
            </w:r>
          </w:p>
        </w:tc>
        <w:tc>
          <w:tcPr>
            <w:tcW w:w="143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83745,65</w:t>
            </w:r>
          </w:p>
        </w:tc>
        <w:tc>
          <w:tcPr>
            <w:tcW w:w="13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97144,95</w:t>
            </w:r>
          </w:p>
        </w:tc>
        <w:tc>
          <w:tcPr>
            <w:tcW w:w="10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104284,40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rPr/>
            </w:pPr>
            <w:r>
              <w:rPr>
                <w:rFonts w:ascii="Times New Roman" w:hAnsi="Times New Roman"/>
                <w:color w:val="000000"/>
                <w:sz w:val="20"/>
                <w:szCs w:val="20"/>
              </w:rPr>
              <w:t>Дизельне пальне</w:t>
            </w:r>
          </w:p>
        </w:tc>
        <w:tc>
          <w:tcPr>
            <w:tcW w:w="14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93294,89</w:t>
            </w:r>
          </w:p>
        </w:tc>
        <w:tc>
          <w:tcPr>
            <w:tcW w:w="135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98205,15</w:t>
            </w:r>
          </w:p>
        </w:tc>
        <w:tc>
          <w:tcPr>
            <w:tcW w:w="13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101242,42</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103308,59</w:t>
            </w:r>
          </w:p>
        </w:tc>
        <w:tc>
          <w:tcPr>
            <w:tcW w:w="14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106407,85</w:t>
            </w:r>
          </w:p>
        </w:tc>
        <w:tc>
          <w:tcPr>
            <w:tcW w:w="143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97895,22</w:t>
            </w:r>
          </w:p>
        </w:tc>
        <w:tc>
          <w:tcPr>
            <w:tcW w:w="13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113558,46</w:t>
            </w:r>
          </w:p>
        </w:tc>
        <w:tc>
          <w:tcPr>
            <w:tcW w:w="10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121904,10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rPr/>
            </w:pPr>
            <w:r>
              <w:rPr>
                <w:rFonts w:ascii="Times New Roman" w:hAnsi="Times New Roman"/>
                <w:color w:val="000000"/>
                <w:sz w:val="20"/>
                <w:szCs w:val="20"/>
              </w:rPr>
              <w:t>CNG (Метан)</w:t>
            </w:r>
          </w:p>
        </w:tc>
        <w:tc>
          <w:tcPr>
            <w:tcW w:w="14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3943,69</w:t>
            </w:r>
          </w:p>
        </w:tc>
        <w:tc>
          <w:tcPr>
            <w:tcW w:w="135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4151,26</w:t>
            </w:r>
          </w:p>
        </w:tc>
        <w:tc>
          <w:tcPr>
            <w:tcW w:w="13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4279,65</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4366,99</w:t>
            </w:r>
          </w:p>
        </w:tc>
        <w:tc>
          <w:tcPr>
            <w:tcW w:w="14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4498,00</w:t>
            </w:r>
          </w:p>
        </w:tc>
        <w:tc>
          <w:tcPr>
            <w:tcW w:w="143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4138,16</w:t>
            </w:r>
          </w:p>
        </w:tc>
        <w:tc>
          <w:tcPr>
            <w:tcW w:w="13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4800,26</w:t>
            </w:r>
          </w:p>
        </w:tc>
        <w:tc>
          <w:tcPr>
            <w:tcW w:w="10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5153,00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rPr/>
            </w:pPr>
            <w:r>
              <w:rPr>
                <w:rFonts w:ascii="Times New Roman" w:hAnsi="Times New Roman"/>
                <w:color w:val="000000"/>
                <w:sz w:val="20"/>
                <w:szCs w:val="20"/>
              </w:rPr>
              <w:t>LPG (Пропан-Бутан)</w:t>
            </w:r>
          </w:p>
        </w:tc>
        <w:tc>
          <w:tcPr>
            <w:tcW w:w="14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108,18</w:t>
            </w:r>
          </w:p>
        </w:tc>
        <w:tc>
          <w:tcPr>
            <w:tcW w:w="135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113,87</w:t>
            </w:r>
          </w:p>
        </w:tc>
        <w:tc>
          <w:tcPr>
            <w:tcW w:w="1304"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117,40</w:t>
            </w:r>
          </w:p>
        </w:tc>
        <w:tc>
          <w:tcPr>
            <w:tcW w:w="126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119,79</w:t>
            </w:r>
          </w:p>
        </w:tc>
        <w:tc>
          <w:tcPr>
            <w:tcW w:w="1405"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123,39</w:t>
            </w:r>
          </w:p>
        </w:tc>
        <w:tc>
          <w:tcPr>
            <w:tcW w:w="143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113,51</w:t>
            </w:r>
          </w:p>
        </w:tc>
        <w:tc>
          <w:tcPr>
            <w:tcW w:w="13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131,68</w:t>
            </w:r>
          </w:p>
        </w:tc>
        <w:tc>
          <w:tcPr>
            <w:tcW w:w="109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141,40</w:t>
            </w:r>
          </w:p>
        </w:tc>
      </w:tr>
      <w:tr>
        <w:trPr>
          <w:trHeight w:val="288" w:hRule="atLeast"/>
        </w:trPr>
        <w:tc>
          <w:tcPr>
            <w:tcW w:w="4145"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spacing w:lineRule="auto" w:line="240" w:before="0" w:after="0"/>
              <w:rPr/>
            </w:pPr>
            <w:r>
              <w:rPr>
                <w:rFonts w:ascii="Times New Roman" w:hAnsi="Times New Roman"/>
                <w:sz w:val="20"/>
                <w:szCs w:val="20"/>
              </w:rPr>
              <w:t>Разом по Енергетичному балансу</w:t>
            </w:r>
          </w:p>
        </w:tc>
        <w:tc>
          <w:tcPr>
            <w:tcW w:w="1420"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2131145,0</w:t>
            </w:r>
          </w:p>
        </w:tc>
        <w:tc>
          <w:tcPr>
            <w:tcW w:w="1358"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2118185,2</w:t>
            </w:r>
          </w:p>
        </w:tc>
        <w:tc>
          <w:tcPr>
            <w:tcW w:w="1304"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1819231,7</w:t>
            </w:r>
          </w:p>
        </w:tc>
        <w:tc>
          <w:tcPr>
            <w:tcW w:w="1263"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2188261,8</w:t>
            </w:r>
          </w:p>
        </w:tc>
        <w:tc>
          <w:tcPr>
            <w:tcW w:w="1405"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2311013,0</w:t>
            </w:r>
          </w:p>
        </w:tc>
        <w:tc>
          <w:tcPr>
            <w:tcW w:w="1433"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2076766,0</w:t>
            </w:r>
          </w:p>
        </w:tc>
        <w:tc>
          <w:tcPr>
            <w:tcW w:w="1369"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2161374,7</w:t>
            </w:r>
          </w:p>
        </w:tc>
        <w:tc>
          <w:tcPr>
            <w:tcW w:w="1091" w:type="dxa"/>
            <w:tcBorders>
              <w:top w:val="single" w:sz="4" w:space="0" w:color="000000"/>
              <w:start w:val="single" w:sz="4" w:space="0" w:color="000000"/>
              <w:bottom w:val="single" w:sz="4" w:space="0" w:color="000000"/>
              <w:end w:val="single" w:sz="4" w:space="0" w:color="000000"/>
            </w:tcBorders>
            <w:shd w:color="auto" w:fill="F2F2F2" w:val="clear"/>
            <w:vAlign w:val="bottom"/>
          </w:tcPr>
          <w:p>
            <w:pPr>
              <w:pStyle w:val="Normal"/>
              <w:spacing w:before="0" w:after="0"/>
              <w:jc w:val="center"/>
              <w:rPr/>
            </w:pPr>
            <w:r>
              <w:rPr>
                <w:rFonts w:cs="Times New Roman" w:ascii="Times New Roman" w:hAnsi="Times New Roman"/>
                <w:color w:val="000000"/>
                <w:sz w:val="20"/>
                <w:szCs w:val="20"/>
              </w:rPr>
              <w:t>2218624,8</w:t>
            </w:r>
          </w:p>
        </w:tc>
      </w:tr>
    </w:tbl>
    <w:p>
      <w:pPr>
        <w:pStyle w:val="Normal"/>
        <w:spacing w:lineRule="auto" w:line="240" w:before="0" w:after="0"/>
        <w:jc w:val="both"/>
        <w:rPr/>
      </w:pPr>
      <w:r>
        <w:rPr>
          <w:rFonts w:eastAsia="Times New Roman" w:cs="Times New Roman" w:ascii="Times New Roman" w:hAnsi="Times New Roman"/>
          <w:color w:val="000000"/>
          <w:sz w:val="20"/>
          <w:szCs w:val="20"/>
          <w:lang w:eastAsia="uk-UA"/>
        </w:rPr>
        <w:t>* електроенергія в т.ч. вироблена з ВДЕ</w:t>
      </w:r>
      <w:r>
        <w:br w:type="page"/>
      </w:r>
    </w:p>
    <w:p>
      <w:pPr>
        <w:pStyle w:val="Normal"/>
        <w:spacing w:lineRule="auto" w:line="240" w:before="0" w:after="280"/>
        <w:ind w:firstLine="567"/>
        <w:jc w:val="both"/>
        <w:rPr/>
      </w:pPr>
      <w:r>
        <w:rPr>
          <w:rFonts w:ascii="Times New Roman" w:hAnsi="Times New Roman"/>
          <w:color w:val="000000"/>
          <w:sz w:val="24"/>
          <w:szCs w:val="24"/>
        </w:rPr>
        <w:t>На рисунку 2.15 Діаграма Сенкі у графічному вигляді відображено енергоспоживання в Луцькій МТГ на 2024 рік</w:t>
      </w:r>
    </w:p>
    <w:p>
      <w:pPr>
        <w:pStyle w:val="Normal"/>
        <w:spacing w:lineRule="auto" w:line="240" w:before="280" w:after="280"/>
        <w:jc w:val="center"/>
        <w:rPr/>
      </w:pPr>
      <w:r>
        <w:drawing>
          <wp:anchor behindDoc="0" distT="0" distB="0" distL="0" distR="0" simplePos="0" locked="0" layoutInCell="0" allowOverlap="1" relativeHeight="45">
            <wp:simplePos x="0" y="0"/>
            <wp:positionH relativeFrom="column">
              <wp:align>center</wp:align>
            </wp:positionH>
            <wp:positionV relativeFrom="paragraph">
              <wp:posOffset>635</wp:posOffset>
            </wp:positionV>
            <wp:extent cx="9251950" cy="5396865"/>
            <wp:effectExtent l="0" t="0" r="0" b="0"/>
            <wp:wrapSquare wrapText="largest"/>
            <wp:docPr id="17" name="Зображення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Зображення3" descr="" title=""/>
                    <pic:cNvPicPr>
                      <a:picLocks noChangeAspect="1" noChangeArrowheads="1"/>
                    </pic:cNvPicPr>
                  </pic:nvPicPr>
                  <pic:blipFill>
                    <a:blip r:embed="rId23"/>
                    <a:stretch>
                      <a:fillRect/>
                    </a:stretch>
                  </pic:blipFill>
                  <pic:spPr bwMode="auto">
                    <a:xfrm>
                      <a:off x="0" y="0"/>
                      <a:ext cx="9251950" cy="5396865"/>
                    </a:xfrm>
                    <a:prstGeom prst="rect">
                      <a:avLst/>
                    </a:prstGeom>
                  </pic:spPr>
                </pic:pic>
              </a:graphicData>
            </a:graphic>
          </wp:anchor>
        </w:drawing>
      </w:r>
      <w:r>
        <w:rPr>
          <w:rFonts w:eastAsia="Times New Roman" w:cs="Times New Roman" w:ascii="Times New Roman" w:hAnsi="Times New Roman"/>
          <w:color w:val="000000"/>
          <w:sz w:val="24"/>
          <w:szCs w:val="24"/>
          <w:lang w:eastAsia="uk-UA"/>
        </w:rPr>
        <w:t xml:space="preserve">Рисунок 2.15. Діаграма Сенкі енергетичного балансу Луцької МТГ за 2024 рік, </w:t>
      </w:r>
      <w:r>
        <w:rPr>
          <w:rFonts w:eastAsia="Microsoft Sans Serif" w:cs="Times New Roman" w:ascii="Times New Roman" w:hAnsi="Times New Roman"/>
          <w:color w:val="000000"/>
          <w:kern w:val="2"/>
          <w:sz w:val="24"/>
          <w:szCs w:val="24"/>
          <w:shd w:fill="FFFFFF" w:val="clear"/>
          <w:lang w:eastAsia="uk-UA"/>
        </w:rPr>
        <w:t>МВт∙год</w:t>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drawing>
          <wp:anchor behindDoc="0" distT="0" distB="0" distL="0" distR="0" simplePos="0" locked="0" layoutInCell="0" allowOverlap="1" relativeHeight="44">
            <wp:simplePos x="0" y="0"/>
            <wp:positionH relativeFrom="column">
              <wp:align>center</wp:align>
            </wp:positionH>
            <wp:positionV relativeFrom="paragraph">
              <wp:posOffset>635</wp:posOffset>
            </wp:positionV>
            <wp:extent cx="5767070" cy="4406900"/>
            <wp:effectExtent l="0" t="0" r="0" b="0"/>
            <wp:wrapSquare wrapText="largest"/>
            <wp:docPr id="18" name="Об'єкт8"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pPr>
      <w:r>
        <w:rPr>
          <w:rFonts w:eastAsia="Times New Roman" w:cs="Times New Roman" w:ascii="Times New Roman" w:hAnsi="Times New Roman"/>
          <w:color w:val="000000"/>
          <w:sz w:val="24"/>
          <w:szCs w:val="24"/>
          <w:lang w:eastAsia="uk-UA"/>
        </w:rPr>
        <w:t xml:space="preserve">Рисунок 2.16. Зведений енергетичний баланс за період 2017-2024 роки за категоріями кінцевих споживачів, </w:t>
      </w:r>
      <w:r>
        <w:rPr>
          <w:rFonts w:eastAsia="Microsoft Sans Serif" w:cs="Times New Roman" w:ascii="Times New Roman" w:hAnsi="Times New Roman"/>
          <w:color w:val="000000"/>
          <w:kern w:val="2"/>
          <w:sz w:val="24"/>
          <w:szCs w:val="24"/>
          <w:shd w:fill="FFFFFF" w:val="clear"/>
          <w:lang w:eastAsia="uk-UA"/>
        </w:rPr>
        <w:t>МВт∙год</w:t>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drawing>
          <wp:anchor behindDoc="0" distT="0" distB="0" distL="0" distR="0" simplePos="0" locked="0" layoutInCell="0" allowOverlap="1" relativeHeight="43">
            <wp:simplePos x="0" y="0"/>
            <wp:positionH relativeFrom="column">
              <wp:align>center</wp:align>
            </wp:positionH>
            <wp:positionV relativeFrom="paragraph">
              <wp:posOffset>635</wp:posOffset>
            </wp:positionV>
            <wp:extent cx="5759450" cy="3239770"/>
            <wp:effectExtent l="0" t="0" r="0" b="0"/>
            <wp:wrapSquare wrapText="largest"/>
            <wp:docPr id="19" name="Об'єкт10"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center"/>
        <w:rPr/>
      </w:pPr>
      <w:r>
        <w:rPr>
          <w:rFonts w:eastAsia="Times New Roman" w:cs="Times New Roman" w:ascii="Times New Roman" w:hAnsi="Times New Roman"/>
          <w:color w:val="000000"/>
          <w:sz w:val="24"/>
          <w:szCs w:val="24"/>
          <w:shd w:fill="FFFFFF" w:val="clear"/>
          <w:lang w:eastAsia="uk-UA"/>
        </w:rPr>
        <w:t xml:space="preserve">Рисунок 2.17. Зведений енергетичний баланс за видами енергії, </w:t>
      </w:r>
      <w:r>
        <w:rPr>
          <w:rFonts w:eastAsia="Microsoft Sans Serif" w:cs="Times New Roman" w:ascii="Times New Roman" w:hAnsi="Times New Roman"/>
          <w:color w:val="000000"/>
          <w:kern w:val="2"/>
          <w:sz w:val="24"/>
          <w:szCs w:val="24"/>
          <w:shd w:fill="FFFFFF" w:val="clear"/>
          <w:lang w:eastAsia="uk-UA"/>
        </w:rPr>
        <w:t>МВт∙год</w:t>
      </w:r>
    </w:p>
    <w:p>
      <w:pPr>
        <w:pStyle w:val="Normal"/>
        <w:spacing w:lineRule="auto" w:line="240" w:before="0" w:after="0"/>
        <w:ind w:firstLine="567"/>
        <w:jc w:val="both"/>
        <w:rPr/>
      </w:pPr>
      <w:r>
        <w:rPr>
          <w:rFonts w:eastAsia="Times New Roman" w:cs="Times New Roman" w:ascii="Times New Roman" w:hAnsi="Times New Roman"/>
          <w:color w:val="000000"/>
          <w:sz w:val="24"/>
          <w:szCs w:val="24"/>
          <w:shd w:fill="FFFFFF" w:val="clear"/>
          <w:lang w:eastAsia="uk-UA"/>
        </w:rPr>
        <w:t xml:space="preserve">Висновок: відповідно до показників зведеного енергетичного балансу за період 2017-2024 можна зробити висновок, що рівень енергоспоживання по громаді є достатньо стабільним з незначними коливаннями пов’язаними зі зниженням споживання в періоди карантинних обмежень та початком повномасштабного вторгнення РФ в Україну у 2022 році. </w:t>
      </w:r>
    </w:p>
    <w:p>
      <w:pPr>
        <w:pStyle w:val="Normal"/>
        <w:spacing w:lineRule="auto" w:line="240" w:before="0" w:after="0"/>
        <w:ind w:firstLine="567"/>
        <w:jc w:val="both"/>
        <w:rPr/>
      </w:pPr>
      <w:r>
        <w:rPr>
          <w:rFonts w:eastAsia="Times New Roman" w:cs="Times New Roman" w:ascii="Times New Roman" w:hAnsi="Times New Roman"/>
          <w:color w:val="000000"/>
          <w:sz w:val="24"/>
          <w:szCs w:val="24"/>
          <w:shd w:fill="FFFFFF" w:val="clear"/>
          <w:lang w:eastAsia="uk-UA"/>
        </w:rPr>
        <w:t xml:space="preserve">Середнє значення загального споживання за вказаний період дорівнює 2 128 051,4 </w:t>
      </w:r>
      <w:r>
        <w:rPr>
          <w:rFonts w:eastAsia="Microsoft Sans Serif" w:cs="Times New Roman" w:ascii="Times New Roman" w:hAnsi="Times New Roman"/>
          <w:color w:val="000000"/>
          <w:kern w:val="2"/>
          <w:sz w:val="24"/>
          <w:szCs w:val="24"/>
          <w:shd w:fill="FFFFFF" w:val="clear"/>
          <w:lang w:eastAsia="uk-UA"/>
        </w:rPr>
        <w:t>МВт∙год</w:t>
      </w:r>
      <w:r>
        <w:rPr>
          <w:rFonts w:eastAsia="Times New Roman" w:cs="Times New Roman" w:ascii="Times New Roman" w:hAnsi="Times New Roman"/>
          <w:color w:val="000000"/>
          <w:sz w:val="24"/>
          <w:szCs w:val="28"/>
          <w:shd w:fill="FFFFFF" w:val="clear"/>
          <w:lang w:eastAsia="uk-UA"/>
        </w:rPr>
        <w:t>, коливання відносно середнього значення склало близько 4,5 %.</w:t>
      </w:r>
    </w:p>
    <w:p>
      <w:pPr>
        <w:pStyle w:val="Normal"/>
        <w:spacing w:lineRule="auto" w:line="240" w:before="0" w:after="0"/>
        <w:ind w:firstLine="567"/>
        <w:jc w:val="both"/>
        <w:rPr/>
      </w:pPr>
      <w:r>
        <w:rPr>
          <w:rFonts w:eastAsia="Times New Roman" w:cs="Times New Roman" w:ascii="Times New Roman" w:hAnsi="Times New Roman"/>
          <w:color w:val="000000"/>
          <w:sz w:val="24"/>
          <w:szCs w:val="24"/>
          <w:shd w:fill="FFFFFF" w:val="clear"/>
          <w:lang w:eastAsia="uk-UA"/>
        </w:rPr>
        <w:t>На загальний обсяг споживання енергії мали вирішальний вплив наступні фактори: а) впровадження енергоефективних заходів; б) економічний розвиток; в) збільшення кількості населення; 7) погодні умови.</w:t>
      </w:r>
    </w:p>
    <w:p>
      <w:pPr>
        <w:pStyle w:val="Normal"/>
        <w:spacing w:lineRule="auto" w:line="240" w:before="0" w:after="0"/>
        <w:ind w:firstLine="567"/>
        <w:jc w:val="both"/>
        <w:rPr/>
      </w:pPr>
      <w:r>
        <w:rPr>
          <w:rFonts w:eastAsia="Times New Roman" w:cs="Times New Roman" w:ascii="Times New Roman" w:hAnsi="Times New Roman"/>
          <w:color w:val="000000"/>
          <w:sz w:val="24"/>
          <w:szCs w:val="24"/>
          <w:shd w:fill="FFFFFF" w:val="clear"/>
          <w:lang w:eastAsia="uk-UA"/>
        </w:rPr>
        <w:t xml:space="preserve">За розподілом споживання енергоресурсів з 2017 по 2024 роки відбулися наступні зміни: зменшено споживання теплової енергії на 30 %; споживання природного газу збільшилось на 27 %; споживання електроенергії зменшилось на 10 %; споживання деревини збільшилось 15 %; споживання бензину збільшилось на 30 %; споживання дизельного пального збільшилось на 31 %; споживання газу (пропан-бутан) збільшилось на 22 %; споживання газу (метан) збільшилось на 38 % (рисунок 2.17).  </w:t>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drawing>
          <wp:anchor behindDoc="0" distT="0" distB="0" distL="0" distR="0" simplePos="0" locked="0" layoutInCell="0" allowOverlap="1" relativeHeight="42">
            <wp:simplePos x="0" y="0"/>
            <wp:positionH relativeFrom="column">
              <wp:align>center</wp:align>
            </wp:positionH>
            <wp:positionV relativeFrom="paragraph">
              <wp:posOffset>-163195</wp:posOffset>
            </wp:positionV>
            <wp:extent cx="7064375" cy="5052695"/>
            <wp:effectExtent l="0" t="0" r="0" b="0"/>
            <wp:wrapSquare wrapText="largest"/>
            <wp:docPr id="20" name="Об'єкт13"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pPr>
      <w:r>
        <w:rPr>
          <w:rFonts w:eastAsia="Times New Roman" w:cs="Times New Roman" w:ascii="Times New Roman" w:hAnsi="Times New Roman"/>
          <w:color w:val="000000"/>
          <w:sz w:val="24"/>
          <w:szCs w:val="24"/>
          <w:lang w:eastAsia="uk-UA"/>
        </w:rPr>
        <w:t xml:space="preserve">Рисунок 2.18. Зведений вартісний баланс за період 2017-2024 роки за категоріями кінцевих споживачів, </w:t>
      </w:r>
      <w:r>
        <w:rPr>
          <w:rFonts w:eastAsia="Microsoft Sans Serif" w:cs="Times New Roman" w:ascii="Times New Roman" w:hAnsi="Times New Roman"/>
          <w:color w:val="000000"/>
          <w:kern w:val="2"/>
          <w:sz w:val="24"/>
          <w:szCs w:val="24"/>
          <w:shd w:fill="FFFFFF" w:val="clear"/>
          <w:lang w:eastAsia="uk-UA"/>
        </w:rPr>
        <w:t>МВт∙год</w:t>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drawing>
          <wp:anchor behindDoc="0" distT="0" distB="0" distL="0" distR="0" simplePos="0" locked="0" layoutInCell="0" allowOverlap="1" relativeHeight="41">
            <wp:simplePos x="0" y="0"/>
            <wp:positionH relativeFrom="column">
              <wp:align>center</wp:align>
            </wp:positionH>
            <wp:positionV relativeFrom="paragraph">
              <wp:posOffset>635</wp:posOffset>
            </wp:positionV>
            <wp:extent cx="5759450" cy="3239770"/>
            <wp:effectExtent l="0" t="0" r="0" b="0"/>
            <wp:wrapSquare wrapText="largest"/>
            <wp:docPr id="21" name="Об'єкт11"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both"/>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color w:val="FF4000"/>
        </w:rPr>
      </w:pPr>
      <w:r>
        <w:rPr>
          <w:color w:val="FF4000"/>
        </w:rPr>
      </w:r>
    </w:p>
    <w:p>
      <w:pPr>
        <w:pStyle w:val="Normal"/>
        <w:spacing w:lineRule="auto" w:line="240" w:before="280" w:after="280"/>
        <w:jc w:val="center"/>
        <w:rPr/>
      </w:pPr>
      <w:r>
        <w:rPr>
          <w:rFonts w:eastAsia="Times New Roman" w:cs="Times New Roman" w:ascii="Times New Roman" w:hAnsi="Times New Roman"/>
          <w:color w:val="000000"/>
          <w:sz w:val="24"/>
          <w:szCs w:val="24"/>
          <w:shd w:fill="FFFFFF" w:val="clear"/>
          <w:lang w:eastAsia="uk-UA"/>
        </w:rPr>
        <w:t xml:space="preserve">Рисунок 2.19. Зведений вартісний баланс за видами енергії, </w:t>
      </w:r>
      <w:r>
        <w:rPr>
          <w:rFonts w:eastAsia="Microsoft Sans Serif" w:cs="Times New Roman" w:ascii="Times New Roman" w:hAnsi="Times New Roman"/>
          <w:color w:val="000000"/>
          <w:kern w:val="2"/>
          <w:sz w:val="24"/>
          <w:szCs w:val="24"/>
          <w:shd w:fill="FFFFFF" w:val="clear"/>
          <w:lang w:eastAsia="uk-UA"/>
        </w:rPr>
        <w:t>МВт∙год</w:t>
      </w:r>
    </w:p>
    <w:p>
      <w:pPr>
        <w:sectPr>
          <w:headerReference w:type="even" r:id="rId28"/>
          <w:headerReference w:type="default" r:id="rId29"/>
          <w:headerReference w:type="first" r:id="rId30"/>
          <w:footerReference w:type="even" r:id="rId31"/>
          <w:footerReference w:type="default" r:id="rId32"/>
          <w:footerReference w:type="first" r:id="rId33"/>
          <w:type w:val="nextPage"/>
          <w:pgSz w:orient="landscape" w:w="16838" w:h="11906"/>
          <w:pgMar w:left="1701" w:right="567" w:gutter="0" w:header="0" w:top="1134" w:footer="0" w:bottom="1134"/>
          <w:pgNumType w:fmt="decimal"/>
          <w:formProt w:val="false"/>
          <w:titlePg/>
          <w:textDirection w:val="lrTb"/>
          <w:docGrid w:type="default" w:linePitch="360" w:charSpace="40960"/>
        </w:sectPr>
        <w:pStyle w:val="Normal"/>
        <w:spacing w:lineRule="auto" w:line="240" w:before="280" w:after="280"/>
        <w:ind w:firstLine="567"/>
        <w:jc w:val="both"/>
        <w:rPr/>
      </w:pPr>
      <w:r>
        <w:rPr>
          <w:rFonts w:eastAsia="Times New Roman" w:cs="Times New Roman" w:ascii="Times New Roman" w:hAnsi="Times New Roman"/>
          <w:color w:val="000000"/>
          <w:sz w:val="24"/>
          <w:szCs w:val="24"/>
          <w:lang w:eastAsia="uk-UA"/>
        </w:rPr>
        <w:t>Висновок: загальні обсяги вартості енергоресурсів помітно зросили у 2021-2024 роках. Показники</w:t>
      </w:r>
      <w:r>
        <w:rPr>
          <w:rFonts w:eastAsia="Times New Roman" w:cs="Times New Roman" w:ascii="Times New Roman" w:hAnsi="Times New Roman"/>
          <w:color w:val="000000"/>
          <w:sz w:val="24"/>
          <w:szCs w:val="24"/>
          <w:shd w:fill="FFFFFF" w:val="clear"/>
          <w:lang w:eastAsia="uk-UA"/>
        </w:rPr>
        <w:t xml:space="preserve"> вартісного балансу пояснюються зростанням тарифів на бензин, дизельне пальне, електроенергію та природний газ. Водночас за вказаний період тарифи на теплову енергію фактично не змінювалися, що пов’язано з дією воєнного стану в Україні (встановлено мораторій на підвищення тарифів на теплову енергію, це означає, що вартість теплопостачання для споживачів залишається на попередньому рівні протягом воєнного стану та шести місяців після його завершення).  </w:t>
      </w:r>
    </w:p>
    <w:p>
      <w:pPr>
        <w:pStyle w:val="111"/>
        <w:numPr>
          <w:ilvl w:val="1"/>
          <w:numId w:val="5"/>
        </w:numPr>
        <w:spacing w:before="0" w:after="0"/>
        <w:ind w:firstLine="567" w:start="0"/>
        <w:rPr/>
      </w:pPr>
      <w:bookmarkStart w:id="35" w:name="__RefHeading___Toc27548_429042107"/>
      <w:bookmarkStart w:id="36" w:name="_Toc188020970"/>
      <w:bookmarkEnd w:id="35"/>
      <w:r>
        <w:rPr>
          <w:rFonts w:cs="Times New Roman" w:ascii="Times New Roman" w:hAnsi="Times New Roman"/>
          <w:b/>
          <w:bCs/>
          <w:color w:val="auto"/>
          <w:sz w:val="24"/>
          <w:szCs w:val="24"/>
          <w:lang w:eastAsia="uk-UA"/>
        </w:rPr>
        <w:t>Основні результати бенчмаркінгу енергетичних показників</w:t>
      </w:r>
      <w:bookmarkEnd w:id="36"/>
    </w:p>
    <w:p>
      <w:pPr>
        <w:pStyle w:val="Normal"/>
        <w:spacing w:lineRule="auto" w:line="240" w:before="0" w:after="0"/>
        <w:ind w:firstLine="567"/>
        <w:jc w:val="center"/>
        <w:rPr/>
      </w:pPr>
      <w:bookmarkStart w:id="37" w:name="_Toc188020970_копія_1"/>
      <w:r>
        <w:rPr>
          <w:rFonts w:eastAsia="Times New Roman" w:cs="Times New Roman" w:ascii="Times New Roman" w:hAnsi="Times New Roman"/>
          <w:color w:val="000000"/>
          <w:sz w:val="24"/>
          <w:szCs w:val="24"/>
          <w:shd w:fill="FFFFFF" w:val="clear"/>
          <w:lang w:eastAsia="uk-UA"/>
        </w:rPr>
        <w:t>Таблиця 2.19. Основні результати бенчмаркінгу енергетичних показників</w:t>
      </w:r>
      <w:bookmarkEnd w:id="37"/>
    </w:p>
    <w:p>
      <w:pPr>
        <w:pStyle w:val="Normal"/>
        <w:spacing w:lineRule="auto" w:line="240" w:before="0" w:after="0"/>
        <w:ind w:firstLine="567"/>
        <w:jc w:val="center"/>
        <w:rPr/>
      </w:pPr>
      <w:r>
        <w:rPr/>
      </w:r>
    </w:p>
    <w:tbl>
      <w:tblPr>
        <w:tblW w:w="9720" w:type="dxa"/>
        <w:jc w:val="start"/>
        <w:tblInd w:w="25" w:type="dxa"/>
        <w:tblLayout w:type="fixed"/>
        <w:tblCellMar>
          <w:top w:w="55" w:type="dxa"/>
          <w:start w:w="55" w:type="dxa"/>
          <w:bottom w:w="55" w:type="dxa"/>
          <w:end w:w="55" w:type="dxa"/>
        </w:tblCellMar>
        <w:tblLook w:firstRow="1" w:noVBand="1" w:lastRow="0" w:firstColumn="1" w:lastColumn="0" w:noHBand="0" w:val="04a0"/>
      </w:tblPr>
      <w:tblGrid>
        <w:gridCol w:w="1310"/>
        <w:gridCol w:w="5411"/>
        <w:gridCol w:w="1408"/>
        <w:gridCol w:w="1590"/>
      </w:tblGrid>
      <w:tr>
        <w:trPr/>
        <w:tc>
          <w:tcPr>
            <w:tcW w:w="1310" w:type="dxa"/>
            <w:tcBorders>
              <w:top w:val="single" w:sz="4" w:space="0" w:color="000000"/>
              <w:start w:val="single" w:sz="4" w:space="0" w:color="000000"/>
              <w:bottom w:val="single" w:sz="4" w:space="0" w:color="000000"/>
            </w:tcBorders>
            <w:vAlign w:val="bottom"/>
          </w:tcPr>
          <w:p>
            <w:pPr>
              <w:pStyle w:val="Normal"/>
              <w:spacing w:before="0" w:after="0"/>
              <w:jc w:val="center"/>
              <w:rPr/>
            </w:pPr>
            <w:r>
              <w:rPr>
                <w:rFonts w:ascii="Times New Roman" w:hAnsi="Times New Roman"/>
                <w:sz w:val="20"/>
                <w:szCs w:val="20"/>
              </w:rPr>
              <w:t>№</w:t>
            </w:r>
          </w:p>
        </w:tc>
        <w:tc>
          <w:tcPr>
            <w:tcW w:w="5411" w:type="dxa"/>
            <w:tcBorders>
              <w:top w:val="single" w:sz="4" w:space="0" w:color="000000"/>
              <w:start w:val="single" w:sz="4" w:space="0" w:color="000000"/>
              <w:bottom w:val="single" w:sz="4" w:space="0" w:color="000000"/>
            </w:tcBorders>
            <w:vAlign w:val="bottom"/>
          </w:tcPr>
          <w:p>
            <w:pPr>
              <w:pStyle w:val="Normal"/>
              <w:spacing w:before="0" w:after="0"/>
              <w:jc w:val="center"/>
              <w:rPr/>
            </w:pPr>
            <w:r>
              <w:rPr>
                <w:rFonts w:ascii="Times New Roman" w:hAnsi="Times New Roman"/>
                <w:sz w:val="20"/>
                <w:szCs w:val="20"/>
              </w:rPr>
              <w:t>Показник</w:t>
            </w:r>
          </w:p>
        </w:tc>
        <w:tc>
          <w:tcPr>
            <w:tcW w:w="1408" w:type="dxa"/>
            <w:tcBorders>
              <w:top w:val="single" w:sz="4" w:space="0" w:color="000000"/>
              <w:start w:val="single" w:sz="4" w:space="0" w:color="000000"/>
              <w:bottom w:val="single" w:sz="4" w:space="0" w:color="000000"/>
            </w:tcBorders>
            <w:vAlign w:val="bottom"/>
          </w:tcPr>
          <w:p>
            <w:pPr>
              <w:pStyle w:val="Normal"/>
              <w:spacing w:before="0" w:after="0"/>
              <w:jc w:val="center"/>
              <w:rPr/>
            </w:pPr>
            <w:r>
              <w:rPr>
                <w:rFonts w:ascii="Times New Roman" w:hAnsi="Times New Roman"/>
                <w:sz w:val="20"/>
                <w:szCs w:val="20"/>
              </w:rPr>
              <w:t>Назва міста</w:t>
            </w:r>
          </w:p>
        </w:tc>
        <w:tc>
          <w:tcPr>
            <w:tcW w:w="159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2024</w:t>
            </w:r>
          </w:p>
        </w:tc>
      </w:tr>
      <w:tr>
        <w:trPr/>
        <w:tc>
          <w:tcPr>
            <w:tcW w:w="1310" w:type="dxa"/>
            <w:vMerge w:val="restart"/>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w:t>
            </w:r>
          </w:p>
        </w:tc>
        <w:tc>
          <w:tcPr>
            <w:tcW w:w="5411" w:type="dxa"/>
            <w:vMerge w:val="restart"/>
            <w:tcBorders>
              <w:start w:val="single" w:sz="4" w:space="0" w:color="000000"/>
              <w:bottom w:val="single" w:sz="4" w:space="0" w:color="000000"/>
            </w:tcBorders>
            <w:vAlign w:val="center"/>
          </w:tcPr>
          <w:p>
            <w:pPr>
              <w:pStyle w:val="Normal"/>
              <w:spacing w:before="0" w:after="0"/>
              <w:jc w:val="both"/>
              <w:rPr/>
            </w:pPr>
            <w:r>
              <w:rPr>
                <w:rFonts w:ascii="Times New Roman" w:hAnsi="Times New Roman"/>
                <w:sz w:val="20"/>
                <w:szCs w:val="20"/>
              </w:rPr>
              <w:t>Питоме загальне енергоспоживання громадських будівель (кВт.год/м</w:t>
            </w:r>
            <w:r>
              <w:rPr>
                <w:rFonts w:ascii="Times New Roman" w:hAnsi="Times New Roman"/>
                <w:sz w:val="20"/>
                <w:szCs w:val="20"/>
                <w:vertAlign w:val="superscript"/>
              </w:rPr>
              <w:t>2</w:t>
            </w:r>
            <w:r>
              <w:rPr>
                <w:rFonts w:ascii="Times New Roman" w:hAnsi="Times New Roman"/>
                <w:sz w:val="20"/>
                <w:szCs w:val="20"/>
              </w:rPr>
              <w:t>)</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222,8</w:t>
            </w:r>
          </w:p>
        </w:tc>
      </w:tr>
      <w:tr>
        <w:trPr/>
        <w:tc>
          <w:tcPr>
            <w:tcW w:w="1310" w:type="dxa"/>
            <w:vMerge w:val="continue"/>
            <w:tcBorders>
              <w:start w:val="single" w:sz="4" w:space="0" w:color="000000"/>
              <w:bottom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vAlign w:val="center"/>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126,8</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2.</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Питоме енергоспоживання громадських будівель на опалення (кВт.год/м</w:t>
            </w:r>
            <w:r>
              <w:rPr>
                <w:rFonts w:ascii="Times New Roman" w:hAnsi="Times New Roman"/>
                <w:sz w:val="20"/>
                <w:szCs w:val="20"/>
                <w:vertAlign w:val="superscript"/>
              </w:rPr>
              <w:t>2</w:t>
            </w:r>
            <w:r>
              <w:rPr>
                <w:rFonts w:ascii="Times New Roman" w:hAnsi="Times New Roman"/>
                <w:sz w:val="20"/>
                <w:szCs w:val="20"/>
              </w:rPr>
              <w:t>)</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169,8</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92,4</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3.</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Частка громадських будівель, що термомодернізовані до класу енергоефективності А, В і С (за загальною площею), %</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45%</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0,1%</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4.</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Питоме теплоспоживання житлових будівель від системи централізованого теплопостачання (кВт.год/м</w:t>
            </w:r>
            <w:r>
              <w:rPr>
                <w:rFonts w:ascii="Times New Roman" w:hAnsi="Times New Roman"/>
                <w:sz w:val="20"/>
                <w:szCs w:val="20"/>
                <w:vertAlign w:val="superscript"/>
              </w:rPr>
              <w:t>2</w:t>
            </w:r>
            <w:r>
              <w:rPr>
                <w:rFonts w:ascii="Times New Roman" w:hAnsi="Times New Roman"/>
                <w:sz w:val="20"/>
                <w:szCs w:val="20"/>
              </w:rPr>
              <w:t>)</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267</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417</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5.</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Питома електрична потужність однієї світлоточки, що працює (кВт.год/од.)</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153,30</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169</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6.</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Питоме споживання електроенегії системою водопостачання і водовідведення з розрахунку на 1 абонента (кВт.год/абонент)</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171,3</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181,8</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7.</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Питоме споживання електроенергії системою централізованого водопостачання та водовідведення з розрахунку на 1 м</w:t>
            </w:r>
            <w:r>
              <w:rPr>
                <w:rFonts w:ascii="Times New Roman" w:hAnsi="Times New Roman"/>
                <w:sz w:val="20"/>
                <w:szCs w:val="20"/>
                <w:vertAlign w:val="superscript"/>
                <w:lang w:val="en-US"/>
              </w:rPr>
              <w:t>3</w:t>
            </w:r>
            <w:r>
              <w:rPr>
                <w:rFonts w:ascii="Times New Roman" w:hAnsi="Times New Roman"/>
                <w:sz w:val="20"/>
                <w:szCs w:val="20"/>
              </w:rPr>
              <w:t xml:space="preserve"> води, наданої споживачеві (кВт.год/м</w:t>
            </w:r>
            <w:r>
              <w:rPr>
                <w:rFonts w:ascii="Times New Roman" w:hAnsi="Times New Roman"/>
                <w:sz w:val="20"/>
                <w:szCs w:val="20"/>
                <w:vertAlign w:val="superscript"/>
              </w:rPr>
              <w:t>3</w:t>
            </w:r>
            <w:r>
              <w:rPr>
                <w:rFonts w:ascii="Times New Roman" w:hAnsi="Times New Roman"/>
                <w:sz w:val="20"/>
                <w:szCs w:val="20"/>
              </w:rPr>
              <w:t>)</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0,469</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2</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8.</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Питоме споживання пального громадським транспортом з розрахунку на 100 км сумарного пробігу (кВт.год./100 км)</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248,14</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161,4</w:t>
            </w:r>
          </w:p>
        </w:tc>
      </w:tr>
      <w:tr>
        <w:trPr/>
        <w:tc>
          <w:tcPr>
            <w:tcW w:w="1310" w:type="dxa"/>
            <w:vMerge w:val="restart"/>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9.</w:t>
            </w:r>
          </w:p>
        </w:tc>
        <w:tc>
          <w:tcPr>
            <w:tcW w:w="5411" w:type="dxa"/>
            <w:vMerge w:val="restart"/>
            <w:tcBorders>
              <w:start w:val="single" w:sz="4" w:space="0" w:color="000000"/>
              <w:bottom w:val="single" w:sz="4" w:space="0" w:color="000000"/>
            </w:tcBorders>
          </w:tcPr>
          <w:p>
            <w:pPr>
              <w:pStyle w:val="Normal"/>
              <w:spacing w:before="0" w:after="0"/>
              <w:jc w:val="both"/>
              <w:rPr/>
            </w:pPr>
            <w:r>
              <w:rPr>
                <w:rFonts w:ascii="Times New Roman" w:hAnsi="Times New Roman"/>
                <w:sz w:val="20"/>
                <w:szCs w:val="20"/>
              </w:rPr>
              <w:t>Частка населення, охоплена послугами з вивезення побутових відходів, %</w:t>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Луцьк</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37,2 %</w:t>
            </w:r>
          </w:p>
        </w:tc>
      </w:tr>
      <w:tr>
        <w:trPr/>
        <w:tc>
          <w:tcPr>
            <w:tcW w:w="1310"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5411" w:type="dxa"/>
            <w:vMerge w:val="continue"/>
            <w:tcBorders>
              <w:start w:val="single" w:sz="4" w:space="0" w:color="000000"/>
              <w:bottom w:val="single" w:sz="4" w:space="0" w:color="000000"/>
            </w:tcBorders>
          </w:tcPr>
          <w:p>
            <w:pPr>
              <w:pStyle w:val="Normal"/>
              <w:spacing w:before="0" w:after="0"/>
              <w:jc w:val="both"/>
              <w:rPr>
                <w:rFonts w:ascii="Times New Roman" w:hAnsi="Times New Roman"/>
                <w:sz w:val="20"/>
                <w:szCs w:val="20"/>
              </w:rPr>
            </w:pPr>
            <w:r>
              <w:rPr>
                <w:rFonts w:ascii="Times New Roman" w:hAnsi="Times New Roman"/>
                <w:sz w:val="20"/>
                <w:szCs w:val="20"/>
              </w:rPr>
            </w:r>
          </w:p>
        </w:tc>
        <w:tc>
          <w:tcPr>
            <w:tcW w:w="1408"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Тернопіль</w:t>
            </w:r>
          </w:p>
        </w:tc>
        <w:tc>
          <w:tcPr>
            <w:tcW w:w="1590" w:type="dxa"/>
            <w:tcBorders>
              <w:start w:val="single" w:sz="4" w:space="0" w:color="000000"/>
              <w:bottom w:val="single" w:sz="4" w:space="0" w:color="000000"/>
              <w:end w:val="single" w:sz="4"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t>-</w:t>
            </w:r>
          </w:p>
        </w:tc>
      </w:tr>
    </w:tbl>
    <w:p>
      <w:pPr>
        <w:pStyle w:val="111"/>
        <w:spacing w:before="0" w:after="0"/>
        <w:ind w:firstLine="567"/>
        <w:rPr/>
      </w:pPr>
      <w:r>
        <w:rPr/>
      </w:r>
    </w:p>
    <w:p>
      <w:pPr>
        <w:pStyle w:val="111"/>
        <w:numPr>
          <w:ilvl w:val="1"/>
          <w:numId w:val="5"/>
        </w:numPr>
        <w:spacing w:before="0" w:after="0"/>
        <w:ind w:firstLine="567" w:start="0"/>
        <w:rPr/>
      </w:pPr>
      <w:bookmarkStart w:id="38" w:name="__RefHeading___Toc27550_429042107"/>
      <w:bookmarkStart w:id="39" w:name="_Toc188020971"/>
      <w:bookmarkStart w:id="40" w:name="n423"/>
      <w:bookmarkEnd w:id="38"/>
      <w:bookmarkEnd w:id="40"/>
      <w:r>
        <w:rPr>
          <w:rFonts w:cs="Times New Roman" w:ascii="Times New Roman" w:hAnsi="Times New Roman"/>
          <w:b/>
          <w:bCs/>
          <w:color w:val="auto"/>
          <w:sz w:val="24"/>
          <w:szCs w:val="24"/>
          <w:lang w:eastAsia="uk-UA"/>
        </w:rPr>
        <w:t>Результати аналізу обмежень для сталого енергетичного розвитку</w:t>
      </w:r>
      <w:bookmarkEnd w:id="39"/>
    </w:p>
    <w:p>
      <w:pPr>
        <w:pStyle w:val="Normal"/>
        <w:spacing w:before="0" w:after="0"/>
        <w:ind w:firstLine="567"/>
        <w:jc w:val="both"/>
        <w:rPr/>
      </w:pPr>
      <w:r>
        <w:rPr>
          <w:rFonts w:ascii="Times New Roman" w:hAnsi="Times New Roman"/>
          <w:color w:val="000000"/>
          <w:sz w:val="24"/>
          <w:szCs w:val="24"/>
          <w:shd w:fill="FFFFFF" w:val="clear"/>
        </w:rPr>
        <w:t>Аналізуючи сектори енергетичного планування, доцільність та можливості їх енергомодернізації, способи регулювання їх діяльності з боку органу місцевого самоврядування, відмітимо наступні пріоритети та обмеження.</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 xml:space="preserve">Сектор Громадські будівлі (комунального підпорядкування) є найбільш пріоритетним сектором. Реалізація проєктів з енергоефективності в даному секторі дозволить покращити експлуатаційні характеристики будівель та скоротити фінансові витрати бюджету громади на їх утримання.  </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Сектор Об’єкти водопостачання та водовідведення є найбільш пріоритетним, через наявні екологічні проблеми пов’язані з водовідведенням та очищенням стічних вод. Громада здійснила та продовжує здійснювати енергоефективні заходи шляхом грантових, кредитних та місцевих коштів.</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Сектор Об’єкти зовнішнього освітлення є пріоритетним, оскільки громада не повністю перейшла на енергоефективне освітлення через заміну ламп розжарювання на світлодіодні.</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 xml:space="preserve">Сектор Житлові будівлі є найбільш пріоритетним сектором, але потребує вкладення значних фінансових ресурсів. Слід зазначити, що сектор Житлові будівлі стане більш привабливим для інвестування в разі скасування перехресного субсидіювання тарифів на газ, теплову та електричну енергію для населення. </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Сектор Об'єкти в сфері теплопостачання є найбільш пріоритетним, оскільки громада здійснила та продовжує здійснювати енергоефективні заходи шляхом використання грантових, кредитних та місцевих коштів.</w:t>
      </w:r>
      <w:bookmarkStart w:id="41" w:name="_Hlk186797180"/>
      <w:r>
        <w:rPr>
          <w:rFonts w:ascii="Times New Roman" w:hAnsi="Times New Roman"/>
          <w:color w:val="000000"/>
          <w:sz w:val="24"/>
          <w:szCs w:val="24"/>
          <w:shd w:fill="FFFFFF" w:val="clear"/>
        </w:rPr>
        <w:t xml:space="preserve"> </w:t>
      </w:r>
      <w:bookmarkEnd w:id="41"/>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 xml:space="preserve">Сектор Об'єкти з управління побутовими відходами є пріоритетним та має заплановані проєкти для реалізації до 2030 року. З боку муніципалітету необхідно посилення контролю за виконанням законодавства в сфері поводження з відходами, особливо в частині роздільного збору сміття та впровадження технологій циркуляційної економіки. </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Сектор Третинний (Інші сфери послуг) не є пріоритетним через обмеження впливу органів місцевого самоврядування на рішення суб’єктів господарювання. Водночас ефективними є так звані «м’які» заходи: інформування суб’єктів господарювання та інших зацікавлених осіб про користь впровадження енергоефективних заходів та перехід на ВДЕ.</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 xml:space="preserve">Сектор Громадський транспорт та відповідна інфраструктура є пріоритетним, оскільки в громаді є потреба заміни старих автобусів та тролейбусів на сучасні з покращеними характеристиками енергоспоживання. </w:t>
      </w:r>
    </w:p>
    <w:p>
      <w:pPr>
        <w:pStyle w:val="Normal"/>
        <w:numPr>
          <w:ilvl w:val="0"/>
          <w:numId w:val="1"/>
        </w:numPr>
        <w:tabs>
          <w:tab w:val="clear" w:pos="708"/>
          <w:tab w:val="left" w:pos="390" w:leader="none"/>
        </w:tabs>
        <w:spacing w:before="0" w:after="0"/>
        <w:ind w:hanging="0" w:start="0"/>
        <w:jc w:val="both"/>
        <w:rPr/>
      </w:pPr>
      <w:r>
        <w:rPr>
          <w:rFonts w:ascii="Times New Roman" w:hAnsi="Times New Roman"/>
          <w:color w:val="000000"/>
          <w:sz w:val="24"/>
          <w:szCs w:val="24"/>
          <w:shd w:fill="FFFFFF" w:val="clear"/>
        </w:rPr>
        <w:t>Сектор Інший транспорт, в тому числі:</w:t>
      </w:r>
    </w:p>
    <w:p>
      <w:pPr>
        <w:pStyle w:val="Normal"/>
        <w:tabs>
          <w:tab w:val="clear" w:pos="708"/>
          <w:tab w:val="left" w:pos="390" w:leader="none"/>
        </w:tabs>
        <w:spacing w:before="0" w:after="0"/>
        <w:jc w:val="both"/>
        <w:rPr/>
      </w:pPr>
      <w:r>
        <w:rPr>
          <w:rFonts w:ascii="Times New Roman" w:hAnsi="Times New Roman"/>
          <w:color w:val="000000"/>
          <w:sz w:val="24"/>
          <w:szCs w:val="24"/>
          <w:shd w:fill="FFFFFF" w:val="clear"/>
        </w:rPr>
        <w:t>1)  муніципальний транспорт (крім транспорту для громадських перевезень) є</w:t>
      </w:r>
      <w:r>
        <w:rPr>
          <w:rFonts w:eastAsia="Times New Roman" w:cs="Times New Roman" w:ascii="Times New Roman" w:hAnsi="Times New Roman"/>
          <w:color w:val="000000"/>
          <w:sz w:val="24"/>
          <w:szCs w:val="24"/>
          <w:shd w:fill="FFFFFF" w:val="clear"/>
          <w:lang w:eastAsia="uk-UA"/>
        </w:rPr>
        <w:t xml:space="preserve"> пріоритетним, </w:t>
      </w:r>
      <w:bookmarkStart w:id="42" w:name="_Hlk186797180_копія_1"/>
      <w:bookmarkEnd w:id="42"/>
      <w:r>
        <w:rPr>
          <w:rFonts w:eastAsia="Times New Roman" w:cs="Times New Roman" w:ascii="Times New Roman" w:hAnsi="Times New Roman"/>
          <w:color w:val="000000"/>
          <w:sz w:val="24"/>
          <w:szCs w:val="24"/>
          <w:shd w:fill="FFFFFF" w:val="clear"/>
          <w:lang w:eastAsia="uk-UA"/>
        </w:rPr>
        <w:t xml:space="preserve"> оскільки у громади є потреба заміни старого рухомого складу на більш сучасний з покращеними характеристиками енергоспоживання.</w:t>
      </w:r>
    </w:p>
    <w:p>
      <w:pPr>
        <w:pStyle w:val="Normal"/>
        <w:tabs>
          <w:tab w:val="clear" w:pos="708"/>
          <w:tab w:val="left" w:pos="390" w:leader="none"/>
        </w:tabs>
        <w:spacing w:before="0" w:after="0"/>
        <w:jc w:val="both"/>
        <w:rPr/>
      </w:pPr>
      <w:r>
        <w:rPr>
          <w:rFonts w:ascii="Times New Roman" w:hAnsi="Times New Roman"/>
          <w:color w:val="000000"/>
          <w:sz w:val="24"/>
          <w:szCs w:val="24"/>
          <w:shd w:fill="FFFFFF" w:val="clear"/>
        </w:rPr>
        <w:t>2) приватний та комерційний транспорт не є пріоритетним, через обмежений вплив органів місцевого самоврядування на рішення суб’єктів господарювання власників транспортних засобів. Також слід зазначити, що зазначені власники розуміють необхідність та шукають шляхи покращення екологічних та технічних характеристик транспорту. «М’які» заходи (інформування) можуть бути ефективними в цьому секторі.</w:t>
      </w:r>
    </w:p>
    <w:p>
      <w:pPr>
        <w:pStyle w:val="Normal"/>
        <w:tabs>
          <w:tab w:val="clear" w:pos="708"/>
          <w:tab w:val="left" w:pos="0" w:leader="none"/>
        </w:tabs>
        <w:spacing w:before="0" w:after="0"/>
        <w:ind w:firstLine="567"/>
        <w:jc w:val="both"/>
        <w:rPr/>
      </w:pPr>
      <w:r>
        <w:rPr>
          <w:rFonts w:ascii="Times New Roman" w:hAnsi="Times New Roman"/>
          <w:color w:val="000000"/>
          <w:sz w:val="24"/>
          <w:szCs w:val="24"/>
          <w:shd w:fill="FFFFFF" w:val="clear"/>
        </w:rPr>
        <w:t xml:space="preserve">Необов’язкові сектори енергетичного планування (Розподіл та постачання природного газу, Розподіл та постачання електричної енергії, Промисловість, Сільське господарство) не розглядаються під час енергетичного планування в рамках МЕП, оскільки органи місцевого самоврядування не мають повноважень щодо впливу на господарську діяльність в цих секторах. </w:t>
      </w:r>
    </w:p>
    <w:p>
      <w:pPr>
        <w:pStyle w:val="Normal"/>
        <w:spacing w:lineRule="auto" w:line="240" w:before="150" w:after="150"/>
        <w:ind w:start="450" w:end="450"/>
        <w:jc w:val="center"/>
        <w:rPr/>
      </w:pPr>
      <w:r>
        <w:rPr>
          <w:rFonts w:eastAsia="Times New Roman" w:cs="Times New Roman" w:ascii="Times New Roman" w:hAnsi="Times New Roman"/>
          <w:b/>
          <w:bCs/>
          <w:color w:val="000000"/>
          <w:sz w:val="24"/>
          <w:szCs w:val="24"/>
          <w:lang w:eastAsia="uk-UA"/>
        </w:rPr>
        <w:t>SWOT-АНАЛІЗ</w:t>
      </w:r>
      <w:r>
        <w:rPr>
          <w:rFonts w:eastAsia="Times New Roman" w:cs="Times New Roman" w:ascii="Times New Roman" w:hAnsi="Times New Roman"/>
          <w:color w:val="000000"/>
          <w:sz w:val="24"/>
          <w:szCs w:val="24"/>
          <w:lang w:eastAsia="uk-UA"/>
        </w:rPr>
        <w:br/>
        <w:t>перспектив</w:t>
      </w:r>
      <w:r>
        <w:rPr>
          <w:rFonts w:eastAsia="Times New Roman" w:cs="Times New Roman" w:ascii="Times New Roman" w:hAnsi="Times New Roman"/>
          <w:b/>
          <w:bCs/>
          <w:color w:val="000000"/>
          <w:sz w:val="24"/>
          <w:szCs w:val="24"/>
          <w:lang w:eastAsia="uk-UA"/>
        </w:rPr>
        <w:t xml:space="preserve"> сталого енергетичного розвитку Луцької МТГ</w:t>
      </w:r>
    </w:p>
    <w:tbl>
      <w:tblPr>
        <w:tblW w:w="9660" w:type="dxa"/>
        <w:jc w:val="start"/>
        <w:tblInd w:w="-22" w:type="dxa"/>
        <w:tblLayout w:type="fixed"/>
        <w:tblCellMar>
          <w:top w:w="15" w:type="dxa"/>
          <w:start w:w="15" w:type="dxa"/>
          <w:bottom w:w="15" w:type="dxa"/>
          <w:end w:w="15" w:type="dxa"/>
        </w:tblCellMar>
        <w:tblLook w:firstRow="1" w:noVBand="1" w:lastRow="0" w:firstColumn="1" w:lastColumn="0" w:noHBand="0" w:val="04a0"/>
      </w:tblPr>
      <w:tblGrid>
        <w:gridCol w:w="1250"/>
        <w:gridCol w:w="4205"/>
        <w:gridCol w:w="4205"/>
      </w:tblGrid>
      <w:tr>
        <w:trPr/>
        <w:tc>
          <w:tcPr>
            <w:tcW w:w="1250" w:type="dxa"/>
            <w:vMerge w:val="restart"/>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0"/>
              <w:jc w:val="center"/>
              <w:rPr/>
            </w:pPr>
            <w:bookmarkStart w:id="43" w:name="n541"/>
            <w:bookmarkEnd w:id="43"/>
            <w:r>
              <w:rPr>
                <w:rFonts w:eastAsia="Times New Roman" w:cs="Times New Roman" w:ascii="Times New Roman" w:hAnsi="Times New Roman"/>
                <w:color w:val="000000"/>
                <w:sz w:val="20"/>
                <w:szCs w:val="20"/>
                <w:lang w:eastAsia="uk-UA"/>
              </w:rPr>
              <w:t>Внутрішні фактори</w:t>
            </w:r>
          </w:p>
        </w:tc>
        <w:tc>
          <w:tcPr>
            <w:tcW w:w="4205"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pPr>
            <w:r>
              <w:rPr>
                <w:rFonts w:eastAsia="Times New Roman" w:cs="Times New Roman" w:ascii="Times New Roman" w:hAnsi="Times New Roman"/>
                <w:color w:val="000000"/>
                <w:sz w:val="20"/>
                <w:szCs w:val="20"/>
                <w:lang w:eastAsia="uk-UA"/>
              </w:rPr>
              <w:t>Сильні сторони</w:t>
            </w:r>
          </w:p>
        </w:tc>
        <w:tc>
          <w:tcPr>
            <w:tcW w:w="4205" w:type="dxa"/>
            <w:tcBorders>
              <w:top w:val="single" w:sz="6" w:space="0" w:color="000000"/>
              <w:start w:val="single" w:sz="6" w:space="0" w:color="000000"/>
              <w:bottom w:val="single" w:sz="6" w:space="0" w:color="000000"/>
              <w:end w:val="single" w:sz="6" w:space="0" w:color="000000"/>
            </w:tcBorders>
          </w:tcPr>
          <w:p>
            <w:pPr>
              <w:pStyle w:val="Normal"/>
              <w:spacing w:lineRule="atLeast" w:line="120" w:before="0" w:after="0"/>
              <w:jc w:val="center"/>
              <w:rPr/>
            </w:pPr>
            <w:r>
              <w:rPr>
                <w:rFonts w:eastAsia="Times New Roman" w:cs="Times New Roman" w:ascii="Times New Roman" w:hAnsi="Times New Roman"/>
                <w:color w:val="000000"/>
                <w:sz w:val="20"/>
                <w:szCs w:val="20"/>
                <w:lang w:eastAsia="uk-UA"/>
              </w:rPr>
              <w:t>Слабкі сторони</w:t>
            </w:r>
          </w:p>
        </w:tc>
      </w:tr>
      <w:tr>
        <w:trPr/>
        <w:tc>
          <w:tcPr>
            <w:tcW w:w="1250" w:type="dxa"/>
            <w:vMerge w:val="continue"/>
            <w:tcBorders>
              <w:top w:val="single" w:sz="6" w:space="0" w:color="000000"/>
              <w:start w:val="single" w:sz="6" w:space="0" w:color="000000"/>
              <w:bottom w:val="single" w:sz="6" w:space="0" w:color="000000"/>
              <w:end w:val="single" w:sz="6" w:space="0" w:color="000000"/>
            </w:tcBorders>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4205" w:type="dxa"/>
            <w:tcBorders>
              <w:top w:val="single" w:sz="6" w:space="0" w:color="000000"/>
              <w:start w:val="single" w:sz="6" w:space="0" w:color="000000"/>
              <w:bottom w:val="single" w:sz="6" w:space="0" w:color="000000"/>
              <w:end w:val="single" w:sz="6" w:space="0" w:color="000000"/>
            </w:tcBorders>
          </w:tcPr>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Економічний і фінансовий центр Волині;</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Висококваліфікований персонал;</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Порівняно високий потенціал капіталовкладень, потрібних для модернізації, що привабливо для міжнародних фінансових структур;</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Досвід реалізації енергоефективних заходів;</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Досвід співпраці із міжнародними фінансовими інституціями.</w:t>
            </w:r>
          </w:p>
        </w:tc>
        <w:tc>
          <w:tcPr>
            <w:tcW w:w="4205" w:type="dxa"/>
            <w:tcBorders>
              <w:top w:val="single" w:sz="6" w:space="0" w:color="000000"/>
              <w:start w:val="single" w:sz="6" w:space="0" w:color="000000"/>
              <w:bottom w:val="single" w:sz="6" w:space="0" w:color="000000"/>
              <w:end w:val="single" w:sz="6" w:space="0" w:color="000000"/>
            </w:tcBorders>
          </w:tcPr>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Зношена інженерна інфраструктура, значні втрати палива та енергії; переважно монопаливна система виробництва теплової енергії;</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Високий рівень енергоспоживання в бюджетних та житлових будинках;</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Високі тарифи на теплову та електричну енергію для населення;</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Постійне зростання тарифів на енергоресурси;</w:t>
            </w:r>
          </w:p>
          <w:p>
            <w:pPr>
              <w:pStyle w:val="Normal"/>
              <w:tabs>
                <w:tab w:val="clear" w:pos="708"/>
                <w:tab w:val="left" w:pos="458" w:leader="none"/>
              </w:tabs>
              <w:spacing w:lineRule="auto" w:line="240" w:before="0" w:after="0"/>
              <w:jc w:val="both"/>
              <w:rPr/>
            </w:pPr>
            <w:r>
              <w:rPr>
                <w:rFonts w:eastAsia="Times New Roman" w:cs="Times New Roman" w:ascii="Times New Roman" w:hAnsi="Times New Roman"/>
                <w:color w:val="000000"/>
                <w:sz w:val="20"/>
                <w:szCs w:val="20"/>
                <w:lang w:eastAsia="uk-UA"/>
              </w:rPr>
              <w:t>Обмеженість фінансових можливостей бюджетів всіх рівнів та нестача фінансових ресурсів комунальних підприємств для впровадження енергоефективних проєктів.</w:t>
            </w:r>
          </w:p>
        </w:tc>
      </w:tr>
      <w:tr>
        <w:trPr/>
        <w:tc>
          <w:tcPr>
            <w:tcW w:w="1250" w:type="dxa"/>
            <w:vMerge w:val="restart"/>
            <w:tcBorders>
              <w:top w:val="single" w:sz="6" w:space="0" w:color="000000"/>
              <w:start w:val="single" w:sz="6" w:space="0" w:color="000000"/>
              <w:bottom w:val="single" w:sz="6" w:space="0" w:color="000000"/>
              <w:end w:val="single" w:sz="6"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lang w:eastAsia="uk-UA"/>
              </w:rPr>
              <w:t>Зовнішні фактори</w:t>
            </w:r>
          </w:p>
        </w:tc>
        <w:tc>
          <w:tcPr>
            <w:tcW w:w="4205"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pPr>
            <w:r>
              <w:rPr>
                <w:rFonts w:eastAsia="Times New Roman" w:cs="Times New Roman" w:ascii="Times New Roman" w:hAnsi="Times New Roman"/>
                <w:color w:val="000000"/>
                <w:sz w:val="20"/>
                <w:szCs w:val="20"/>
                <w:lang w:eastAsia="uk-UA"/>
              </w:rPr>
              <w:t>Можливості</w:t>
            </w:r>
          </w:p>
        </w:tc>
        <w:tc>
          <w:tcPr>
            <w:tcW w:w="4205" w:type="dxa"/>
            <w:tcBorders>
              <w:top w:val="single" w:sz="6" w:space="0" w:color="000000"/>
              <w:start w:val="single" w:sz="6" w:space="0" w:color="000000"/>
              <w:bottom w:val="single" w:sz="6" w:space="0" w:color="000000"/>
              <w:end w:val="single" w:sz="6" w:space="0" w:color="000000"/>
            </w:tcBorders>
          </w:tcPr>
          <w:p>
            <w:pPr>
              <w:pStyle w:val="Normal"/>
              <w:spacing w:before="0" w:after="0"/>
              <w:jc w:val="center"/>
              <w:rPr/>
            </w:pPr>
            <w:r>
              <w:rPr>
                <w:rFonts w:eastAsia="Times New Roman" w:cs="Times New Roman" w:ascii="Times New Roman" w:hAnsi="Times New Roman"/>
                <w:color w:val="000000"/>
                <w:sz w:val="20"/>
                <w:szCs w:val="20"/>
                <w:lang w:eastAsia="uk-UA"/>
              </w:rPr>
              <w:t>Загрози</w:t>
            </w:r>
          </w:p>
        </w:tc>
      </w:tr>
      <w:tr>
        <w:trPr/>
        <w:tc>
          <w:tcPr>
            <w:tcW w:w="1250" w:type="dxa"/>
            <w:vMerge w:val="continue"/>
            <w:tcBorders>
              <w:top w:val="single" w:sz="6" w:space="0" w:color="000000"/>
              <w:start w:val="single" w:sz="6" w:space="0" w:color="000000"/>
              <w:bottom w:val="single" w:sz="6" w:space="0" w:color="000000"/>
              <w:end w:val="single" w:sz="6" w:space="0" w:color="000000"/>
            </w:tcBorders>
            <w:vAlign w:val="center"/>
          </w:tcPr>
          <w:p>
            <w:pPr>
              <w:pStyle w:val="Normal"/>
              <w:spacing w:before="0" w:after="0"/>
              <w:rPr>
                <w:rFonts w:ascii="Times New Roman" w:hAnsi="Times New Roman"/>
                <w:sz w:val="20"/>
                <w:szCs w:val="20"/>
              </w:rPr>
            </w:pPr>
            <w:r>
              <w:rPr>
                <w:rFonts w:ascii="Times New Roman" w:hAnsi="Times New Roman"/>
                <w:sz w:val="20"/>
                <w:szCs w:val="20"/>
              </w:rPr>
            </w:r>
          </w:p>
        </w:tc>
        <w:tc>
          <w:tcPr>
            <w:tcW w:w="4205" w:type="dxa"/>
            <w:tcBorders>
              <w:top w:val="single" w:sz="6" w:space="0" w:color="000000"/>
              <w:start w:val="single" w:sz="6" w:space="0" w:color="000000"/>
              <w:bottom w:val="single" w:sz="6" w:space="0" w:color="000000"/>
              <w:end w:val="single" w:sz="6" w:space="0" w:color="000000"/>
            </w:tcBorders>
          </w:tcPr>
          <w:p>
            <w:pPr>
              <w:pStyle w:val="Normal"/>
              <w:tabs>
                <w:tab w:val="clear" w:pos="708"/>
                <w:tab w:val="left" w:pos="338" w:leader="none"/>
                <w:tab w:val="left" w:pos="503" w:leader="none"/>
              </w:tabs>
              <w:spacing w:lineRule="auto" w:line="240" w:before="0" w:after="0"/>
              <w:jc w:val="both"/>
              <w:rPr/>
            </w:pPr>
            <w:r>
              <w:rPr>
                <w:rFonts w:eastAsia="Times New Roman" w:cs="Times New Roman" w:ascii="Times New Roman" w:hAnsi="Times New Roman"/>
                <w:color w:val="000000"/>
                <w:sz w:val="20"/>
                <w:szCs w:val="20"/>
                <w:lang w:eastAsia="uk-UA"/>
              </w:rPr>
              <w:t>Статус обласного центра та концентрація ресурсів – можливість використання ефектів масштабу у розвитку міста;</w:t>
            </w:r>
          </w:p>
          <w:p>
            <w:pPr>
              <w:pStyle w:val="Normal"/>
              <w:tabs>
                <w:tab w:val="clear" w:pos="708"/>
                <w:tab w:val="left" w:pos="338" w:leader="none"/>
                <w:tab w:val="left" w:pos="503" w:leader="none"/>
              </w:tabs>
              <w:spacing w:lineRule="auto" w:line="240" w:before="0" w:after="0"/>
              <w:jc w:val="both"/>
              <w:rPr/>
            </w:pPr>
            <w:r>
              <w:rPr>
                <w:rFonts w:eastAsia="Times New Roman" w:cs="Times New Roman" w:ascii="Times New Roman" w:hAnsi="Times New Roman"/>
                <w:color w:val="000000"/>
                <w:sz w:val="20"/>
                <w:szCs w:val="20"/>
                <w:lang w:eastAsia="uk-UA"/>
              </w:rPr>
              <w:t>Високий потенціал для використання альтернативних джерел енергії;</w:t>
            </w:r>
          </w:p>
          <w:p>
            <w:pPr>
              <w:pStyle w:val="Normal"/>
              <w:tabs>
                <w:tab w:val="clear" w:pos="708"/>
                <w:tab w:val="left" w:pos="338" w:leader="none"/>
                <w:tab w:val="left" w:pos="503" w:leader="none"/>
              </w:tabs>
              <w:spacing w:lineRule="auto" w:line="240" w:before="0" w:after="0"/>
              <w:jc w:val="both"/>
              <w:rPr/>
            </w:pPr>
            <w:r>
              <w:rPr>
                <w:rFonts w:eastAsia="Times New Roman" w:cs="Times New Roman" w:ascii="Times New Roman" w:hAnsi="Times New Roman"/>
                <w:color w:val="000000"/>
                <w:sz w:val="20"/>
                <w:szCs w:val="20"/>
                <w:lang w:eastAsia="uk-UA"/>
              </w:rPr>
              <w:t>Залучення фінансування від міжнародних установ;</w:t>
            </w:r>
          </w:p>
          <w:p>
            <w:pPr>
              <w:pStyle w:val="Normal"/>
              <w:tabs>
                <w:tab w:val="clear" w:pos="708"/>
                <w:tab w:val="left" w:pos="338" w:leader="none"/>
                <w:tab w:val="left" w:pos="503" w:leader="none"/>
              </w:tabs>
              <w:spacing w:lineRule="auto" w:line="240" w:before="0" w:after="0"/>
              <w:jc w:val="both"/>
              <w:rPr/>
            </w:pPr>
            <w:r>
              <w:rPr>
                <w:rFonts w:eastAsia="Times New Roman" w:cs="Times New Roman" w:ascii="Times New Roman" w:hAnsi="Times New Roman"/>
                <w:color w:val="000000"/>
                <w:sz w:val="20"/>
                <w:szCs w:val="20"/>
                <w:lang w:eastAsia="uk-UA"/>
              </w:rPr>
              <w:t>Високий потенціал економії енергоресурсів в секторі споживачів (домогосподарства);</w:t>
            </w:r>
          </w:p>
          <w:p>
            <w:pPr>
              <w:pStyle w:val="Normal"/>
              <w:tabs>
                <w:tab w:val="clear" w:pos="708"/>
                <w:tab w:val="left" w:pos="338" w:leader="none"/>
                <w:tab w:val="left" w:pos="503" w:leader="none"/>
              </w:tabs>
              <w:spacing w:lineRule="auto" w:line="240" w:before="0" w:after="0"/>
              <w:jc w:val="both"/>
              <w:rPr/>
            </w:pPr>
            <w:r>
              <w:rPr>
                <w:rFonts w:eastAsia="Times New Roman" w:cs="Times New Roman" w:ascii="Times New Roman" w:hAnsi="Times New Roman"/>
                <w:color w:val="000000"/>
                <w:sz w:val="20"/>
                <w:szCs w:val="20"/>
                <w:lang w:eastAsia="uk-UA"/>
              </w:rPr>
              <w:t>Перехід до європейських стандартів енергетичного менеджменту.</w:t>
            </w:r>
          </w:p>
        </w:tc>
        <w:tc>
          <w:tcPr>
            <w:tcW w:w="4205" w:type="dxa"/>
            <w:tcBorders>
              <w:top w:val="single" w:sz="6" w:space="0" w:color="000000"/>
              <w:start w:val="single" w:sz="6" w:space="0" w:color="000000"/>
              <w:bottom w:val="single" w:sz="6" w:space="0" w:color="000000"/>
              <w:end w:val="single" w:sz="6" w:space="0" w:color="000000"/>
            </w:tcBorders>
          </w:tcPr>
          <w:p>
            <w:pPr>
              <w:pStyle w:val="Normal"/>
              <w:tabs>
                <w:tab w:val="clear" w:pos="708"/>
                <w:tab w:val="left" w:pos="167" w:leader="none"/>
                <w:tab w:val="left" w:pos="450" w:leader="none"/>
              </w:tabs>
              <w:spacing w:lineRule="auto" w:line="240" w:before="0" w:after="0"/>
              <w:jc w:val="both"/>
              <w:rPr/>
            </w:pPr>
            <w:r>
              <w:rPr>
                <w:rFonts w:eastAsia="Times New Roman" w:cs="Times New Roman" w:ascii="Times New Roman" w:hAnsi="Times New Roman"/>
                <w:color w:val="000000"/>
                <w:sz w:val="20"/>
                <w:szCs w:val="20"/>
                <w:lang w:eastAsia="uk-UA"/>
              </w:rPr>
              <w:t>Енергетична залежність та високі темпи подальшого зростання вартості життя у місті, перш за все вартості послуг за теплопостачання;</w:t>
            </w:r>
          </w:p>
          <w:p>
            <w:pPr>
              <w:pStyle w:val="Normal"/>
              <w:tabs>
                <w:tab w:val="clear" w:pos="708"/>
                <w:tab w:val="left" w:pos="167" w:leader="none"/>
                <w:tab w:val="left" w:pos="450" w:leader="none"/>
              </w:tabs>
              <w:spacing w:lineRule="auto" w:line="240" w:before="0" w:after="0"/>
              <w:jc w:val="both"/>
              <w:rPr/>
            </w:pPr>
            <w:r>
              <w:rPr>
                <w:rFonts w:eastAsia="Times New Roman" w:cs="Times New Roman" w:ascii="Times New Roman" w:hAnsi="Times New Roman"/>
                <w:color w:val="000000"/>
                <w:sz w:val="20"/>
                <w:szCs w:val="20"/>
                <w:lang w:eastAsia="uk-UA"/>
              </w:rPr>
              <w:t>Високі темпи зростання вартості послуг, низькі темпи зростання заробітної платні та інфляція;</w:t>
            </w:r>
          </w:p>
          <w:p>
            <w:pPr>
              <w:pStyle w:val="Normal"/>
              <w:tabs>
                <w:tab w:val="clear" w:pos="708"/>
                <w:tab w:val="left" w:pos="167" w:leader="none"/>
                <w:tab w:val="left" w:pos="450" w:leader="none"/>
              </w:tabs>
              <w:spacing w:lineRule="auto" w:line="240" w:before="0" w:after="0"/>
              <w:jc w:val="both"/>
              <w:rPr/>
            </w:pPr>
            <w:r>
              <w:rPr>
                <w:rFonts w:eastAsia="Times New Roman" w:cs="Times New Roman" w:ascii="Times New Roman" w:hAnsi="Times New Roman"/>
                <w:color w:val="000000"/>
                <w:sz w:val="20"/>
                <w:szCs w:val="20"/>
                <w:lang w:eastAsia="uk-UA"/>
              </w:rPr>
              <w:t>Значна залежність регіону від зовнішнього постачання енергоресурсів;</w:t>
            </w:r>
          </w:p>
          <w:p>
            <w:pPr>
              <w:pStyle w:val="Normal"/>
              <w:tabs>
                <w:tab w:val="clear" w:pos="708"/>
                <w:tab w:val="left" w:pos="167" w:leader="none"/>
                <w:tab w:val="left" w:pos="450" w:leader="none"/>
              </w:tabs>
              <w:spacing w:lineRule="auto" w:line="240" w:before="0" w:after="0"/>
              <w:jc w:val="both"/>
              <w:rPr>
                <w:rFonts w:ascii="Times New Roman" w:hAnsi="Times New Roman"/>
                <w:color w:val="000000"/>
                <w:sz w:val="20"/>
                <w:szCs w:val="20"/>
              </w:rPr>
            </w:pPr>
            <w:r>
              <w:rPr>
                <w:rFonts w:ascii="Times New Roman" w:hAnsi="Times New Roman"/>
                <w:color w:val="000000"/>
                <w:sz w:val="20"/>
                <w:szCs w:val="20"/>
              </w:rPr>
            </w:r>
          </w:p>
        </w:tc>
      </w:tr>
    </w:tbl>
    <w:p>
      <w:pPr>
        <w:pStyle w:val="111"/>
        <w:spacing w:before="0" w:after="0"/>
        <w:rPr>
          <w:lang w:eastAsia="uk-UA"/>
        </w:rPr>
      </w:pPr>
      <w:r>
        <w:rPr>
          <w:lang w:eastAsia="uk-UA"/>
        </w:rPr>
      </w:r>
    </w:p>
    <w:p>
      <w:pPr>
        <w:pStyle w:val="111"/>
        <w:numPr>
          <w:ilvl w:val="1"/>
          <w:numId w:val="5"/>
        </w:numPr>
        <w:spacing w:before="0" w:after="0"/>
        <w:ind w:firstLine="567" w:start="0"/>
        <w:rPr/>
      </w:pPr>
      <w:bookmarkStart w:id="44" w:name="__RefHeading___Toc27552_429042107"/>
      <w:bookmarkStart w:id="45" w:name="_Toc188020972"/>
      <w:bookmarkEnd w:id="44"/>
      <w:r>
        <w:rPr>
          <w:rFonts w:ascii="Times New Roman" w:hAnsi="Times New Roman"/>
          <w:b/>
          <w:bCs/>
          <w:color w:val="000000"/>
          <w:sz w:val="24"/>
          <w:szCs w:val="24"/>
          <w:lang w:eastAsia="uk-UA"/>
        </w:rPr>
        <w:t>Потенціал використання відновлювальних джерел енергії</w:t>
      </w:r>
      <w:bookmarkEnd w:id="45"/>
    </w:p>
    <w:p>
      <w:pPr>
        <w:pStyle w:val="Normal"/>
        <w:widowControl w:val="false"/>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Для зменшення енергозалежності споживачів Луцької МТГ від викопних джерел енергії є актуальним використання альтернативних видів палива та ВДЕ. Тому варто звернути увагу на наступні сучасні технології: </w:t>
      </w:r>
      <w:r>
        <w:rPr>
          <w:rFonts w:eastAsia="Microsoft Sans Serif" w:cs="Times New Roman" w:ascii="Times New Roman" w:hAnsi="Times New Roman"/>
          <w:color w:val="000000"/>
          <w:kern w:val="2"/>
          <w:sz w:val="24"/>
          <w:szCs w:val="24"/>
          <w:shd w:fill="FFFFFF" w:val="clear"/>
          <w:lang w:eastAsia="zh-CN" w:bidi="hi-IN"/>
        </w:rPr>
        <w:t>біопаливо, сонячна енергетика, вітрова енергетика, теплові насоси та вторинна енергія, використання ВДЕ в транспорті, біогазові станції.</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Біопаливо</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 xml:space="preserve">Відновлюваними джерелами енергії з біопалива є деревина (дрова, пелети, тріска), відходи промислового та сільськогосподарського виробництв, біогаз, енергетичні рослини. Біоенергетичні технології, які забезпечують потреби опалення, можуть бути когенераційними, генерувати водночас як тепло, так і електроенергію.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Місцевими відновлювальними ресурсами для Луцької МТГ у першу чергу є деревне паливо – дрова, щепа, відходи лісового та деревообробного господарства, відходи від обрізання деревних насаджень. </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Сонячна та вітрова енергетика</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Попри те, що Луцька МТГ знаходиться на північному заході України (територія з невеликою кількістю сонячних днів), ще одним</w:t>
      </w:r>
      <w:r>
        <w:rPr>
          <w:rFonts w:eastAsia="NSimSun" w:cs="Times New Roman" w:ascii="Times New Roman" w:hAnsi="Times New Roman"/>
          <w:color w:val="FF0000"/>
          <w:kern w:val="2"/>
          <w:sz w:val="24"/>
          <w:szCs w:val="24"/>
          <w:shd w:fill="FFFFFF" w:val="clear"/>
          <w:lang w:eastAsia="zh-CN" w:bidi="hi-IN"/>
        </w:rPr>
        <w:t xml:space="preserve"> </w:t>
      </w:r>
      <w:r>
        <w:rPr>
          <w:rFonts w:eastAsia="NSimSun" w:cs="Times New Roman" w:ascii="Times New Roman" w:hAnsi="Times New Roman"/>
          <w:kern w:val="2"/>
          <w:sz w:val="24"/>
          <w:szCs w:val="24"/>
          <w:shd w:fill="FFFFFF" w:val="clear"/>
          <w:lang w:eastAsia="zh-CN" w:bidi="hi-IN"/>
        </w:rPr>
        <w:t>потужним та безпечним видом відновлювальної енергії зі значним потенціалом до використання є сонячне випромінювання. У Луцькій МТГ існують можливості встановлення СЕС: на придатних ділянках промислової зони, на приватних ділянках та на покрівлях гром</w:t>
      </w:r>
      <w:r>
        <w:rPr>
          <w:rFonts w:eastAsia="NSimSun" w:cs="Times New Roman" w:ascii="Times New Roman" w:hAnsi="Times New Roman"/>
          <w:kern w:val="2"/>
          <w:sz w:val="24"/>
          <w:szCs w:val="24"/>
          <w:lang w:eastAsia="zh-CN" w:bidi="hi-IN"/>
        </w:rPr>
        <w:t>адських і житлових будівель.</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 </w:t>
      </w:r>
      <w:r>
        <w:rPr>
          <w:rFonts w:eastAsia="NSimSun" w:cs="Times New Roman" w:ascii="Times New Roman" w:hAnsi="Times New Roman"/>
          <w:color w:val="000000"/>
          <w:kern w:val="2"/>
          <w:sz w:val="24"/>
          <w:szCs w:val="24"/>
          <w:lang w:eastAsia="zh-CN" w:bidi="hi-IN"/>
        </w:rPr>
        <w:t>У</w:t>
      </w:r>
      <w:r>
        <w:rPr>
          <w:rFonts w:eastAsia="NSimSun" w:cs="Times New Roman" w:ascii="Times New Roman" w:hAnsi="Times New Roman"/>
          <w:color w:val="000000"/>
          <w:kern w:val="2"/>
          <w:sz w:val="24"/>
          <w:szCs w:val="24"/>
          <w:shd w:fill="FFFFFF" w:val="clear"/>
          <w:lang w:eastAsia="zh-CN" w:bidi="hi-IN"/>
        </w:rPr>
        <w:t xml:space="preserve"> 2024 році сумарна встановлена потужність генерації становить: СЕС – 7,2 МВт. Загалом у 2024 році у загальну мережу було надано 7,3 тис. МВт год.</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 xml:space="preserve">Відповідно до природних та технічних факторів, потенціал Луцької МТГ для вітрової енергетики оцінюється, як незначний на період до 2030 року. </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Теплові насоси та вторинна енергія</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Використання теплових насосів передбачає відбір енергії з ґрунту, повітря, води. Крім того, джерелами низькопотенційної скидної теплоти техногенного походження є вентиляційні викиди та охолоджуюча вода технологічного та енергетичного обладнання підприємств, промислові, комунально-побутові стоки.</w:t>
      </w:r>
    </w:p>
    <w:p>
      <w:pPr>
        <w:pStyle w:val="Normal"/>
        <w:widowControl w:val="false"/>
        <w:spacing w:before="0" w:after="0"/>
        <w:ind w:firstLine="567"/>
        <w:jc w:val="both"/>
        <w:rPr/>
      </w:pPr>
      <w:r>
        <w:rPr>
          <w:rFonts w:cs="Times New Roman" w:ascii="Times New Roman" w:hAnsi="Times New Roman"/>
          <w:sz w:val="24"/>
          <w:szCs w:val="24"/>
        </w:rPr>
        <w:t>У 18 закладах освіти Луцької МТГ встановлено теплові насоси системи «повітря – вода» для систем ТП та ГВП за механізмом ЕСКО-контрактів. Також, о</w:t>
      </w:r>
      <w:r>
        <w:rPr>
          <w:rFonts w:eastAsia="NSimSun" w:cs="Times New Roman" w:ascii="Times New Roman" w:hAnsi="Times New Roman"/>
          <w:kern w:val="2"/>
          <w:sz w:val="24"/>
          <w:szCs w:val="24"/>
          <w:shd w:fill="FFFFFF" w:val="clear"/>
          <w:lang w:eastAsia="zh-CN" w:bidi="hi-IN"/>
        </w:rPr>
        <w:t>дним із прикладів є використання теплових насосів в центральному басейні Луцької МТГ (потужність теплових насосів 96 МВт, орієнтовна економія енергоресурсів щороку становить понад 50 %).</w:t>
      </w:r>
    </w:p>
    <w:p>
      <w:pPr>
        <w:pStyle w:val="Normal"/>
        <w:spacing w:before="0" w:after="0"/>
        <w:ind w:firstLine="567"/>
        <w:jc w:val="both"/>
        <w:rPr/>
      </w:pPr>
      <w:r>
        <w:rPr>
          <w:rFonts w:cs="Times New Roman" w:ascii="Times New Roman" w:hAnsi="Times New Roman"/>
          <w:sz w:val="24"/>
          <w:szCs w:val="24"/>
        </w:rPr>
        <w:t>Перспективним в Луцьку у найближчому майбутньому є також встановлення теплових насосів у житловому фонді та для ЦТП.</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Використання ВДЕ в транспорті</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 xml:space="preserve">З метою подальшого розвитку транспортної інфраструктури у Луцькій МТГ важливо передбачити збільшення кількості громадського транспорту та обмеження використання особистого в межах завантажених автошляхів на території громади. </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Окремо слід зауважити, що у приватних перевезеннях частка перевезень легковими електромобілями не перевищує 15 %.</w:t>
      </w:r>
      <w:r>
        <w:rPr>
          <w:rFonts w:ascii="Times New Roman" w:hAnsi="Times New Roman"/>
          <w:sz w:val="24"/>
          <w:szCs w:val="24"/>
        </w:rPr>
        <w:t xml:space="preserve"> </w:t>
      </w:r>
      <w:r>
        <w:rPr>
          <w:rFonts w:eastAsia="NSimSun" w:cs="Times New Roman" w:ascii="Times New Roman" w:hAnsi="Times New Roman"/>
          <w:kern w:val="2"/>
          <w:sz w:val="24"/>
          <w:szCs w:val="24"/>
          <w:lang w:eastAsia="zh-CN" w:bidi="hi-IN"/>
        </w:rPr>
        <w:t xml:space="preserve">Проте, кількість транспорту на електродвигунах поступово збільшується. З цього можна зробити висновок, що до 2030 року доля електротранспорту зросте, в т.ч. перевезення пасажирів електробусами в громадському транспорті.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Біогазові станції</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Громада має декілька варіантів для використання біогазових станцій з метою виробництва електроенергії та біогазу – це біогазові станції на полігоні ТПВ, на міських очисних спорудах та на агропромислових господарствах громади.</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Станція дегазації на полігоні ТПВ</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Основна частина побутових відходів Луцька та навколишніх старостинських округів вивозиться на полігон ТПВ у с. Брище, що знаходиться у північній частині громади, за 11 кілометрів від Луцька. Площа полігону ТПВ становить понад 86 га.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З 2017 року на полігоні ТПВ в с. Брище працює станція дегазації, загальна потужність станції складає 330 кВт. </w:t>
      </w:r>
    </w:p>
    <w:p>
      <w:pPr>
        <w:pStyle w:val="Normal"/>
        <w:spacing w:before="0" w:after="0"/>
        <w:ind w:firstLine="567"/>
        <w:jc w:val="both"/>
        <w:rPr/>
      </w:pPr>
      <w:r>
        <w:rPr>
          <w:rFonts w:cs="Times New Roman" w:ascii="Times New Roman" w:hAnsi="Times New Roman"/>
          <w:sz w:val="24"/>
          <w:szCs w:val="24"/>
        </w:rPr>
        <w:t xml:space="preserve">Біогазова установка на очисних спорудах </w:t>
      </w:r>
    </w:p>
    <w:p>
      <w:pPr>
        <w:pStyle w:val="Normal"/>
        <w:spacing w:before="0" w:after="0"/>
        <w:ind w:firstLine="567"/>
        <w:jc w:val="both"/>
        <w:rPr/>
      </w:pPr>
      <w:r>
        <w:rPr>
          <w:rFonts w:cs="Times New Roman" w:ascii="Times New Roman" w:hAnsi="Times New Roman"/>
          <w:sz w:val="24"/>
          <w:szCs w:val="24"/>
          <w:shd w:fill="FFFFFF" w:val="clear"/>
        </w:rPr>
        <w:t xml:space="preserve">З метою вдосконалення та модернізації міських очисних споруд, планується КП «Луцькводоканал» розробити проєкт встановлення біогазової установки для компенсації власного споживання електричної енергії з комплексом для виробництва з осаду стічних вод добрива органічного «LWC». </w:t>
      </w:r>
    </w:p>
    <w:p>
      <w:pPr>
        <w:pStyle w:val="Normal"/>
        <w:spacing w:before="0" w:after="0"/>
        <w:ind w:firstLine="567"/>
        <w:jc w:val="both"/>
        <w:rPr/>
      </w:pPr>
      <w:r>
        <w:rPr>
          <w:rFonts w:cs="Times New Roman" w:ascii="Times New Roman" w:hAnsi="Times New Roman"/>
          <w:sz w:val="24"/>
          <w:szCs w:val="24"/>
        </w:rPr>
        <w:t xml:space="preserve">Отриманий біогаз буде спалюватись у газових двигунах з електричними генераторами. В процесі когенерації понад 40 % спалюваної енергії буде перетворюватись в електричну. </w:t>
      </w:r>
      <w:r>
        <w:br w:type="page"/>
      </w:r>
    </w:p>
    <w:p>
      <w:pPr>
        <w:pStyle w:val="111"/>
        <w:spacing w:before="0" w:after="0"/>
        <w:ind w:firstLine="567"/>
        <w:jc w:val="both"/>
        <w:rPr/>
      </w:pPr>
      <w:bookmarkStart w:id="46" w:name="__RefHeading___Toc27554_429042107"/>
      <w:bookmarkEnd w:id="46"/>
      <w:r>
        <w:rPr>
          <w:rFonts w:cs="Times New Roman" w:ascii="Times New Roman" w:hAnsi="Times New Roman"/>
          <w:b/>
          <w:bCs/>
          <w:color w:val="auto"/>
          <w:sz w:val="24"/>
          <w:szCs w:val="24"/>
        </w:rPr>
        <w:t>Р</w:t>
      </w:r>
      <w:bookmarkStart w:id="47" w:name="_Toc188020973"/>
      <w:r>
        <w:rPr>
          <w:rFonts w:cs="Times New Roman" w:ascii="Times New Roman" w:hAnsi="Times New Roman"/>
          <w:b/>
          <w:bCs/>
          <w:color w:val="auto"/>
          <w:sz w:val="24"/>
          <w:szCs w:val="24"/>
        </w:rPr>
        <w:t>озділ 3. Цілі сталого енергетичного розвитку Луцької МТГ</w:t>
      </w:r>
      <w:bookmarkEnd w:id="47"/>
    </w:p>
    <w:p>
      <w:pPr>
        <w:pStyle w:val="Normal"/>
        <w:spacing w:before="0" w:after="0"/>
        <w:ind w:firstLine="567"/>
        <w:jc w:val="both"/>
        <w:rPr/>
      </w:pPr>
      <w:r>
        <w:rPr>
          <w:rFonts w:cs="Times New Roman" w:ascii="Times New Roman" w:hAnsi="Times New Roman"/>
          <w:color w:val="000000"/>
          <w:sz w:val="24"/>
          <w:szCs w:val="24"/>
          <w:shd w:fill="FFFFFF" w:val="clear"/>
        </w:rPr>
        <w:t>За результатами проведеного аналізу даних енергетичного балансу, що наведені в таблиці 2.18. та розрахунку базового й очікуваного енергоспоживання, побудовано діаграму з порівнянням показників базової лінії та очікуваних обсягів енергоспоживання у Луцькій МТГ на період до 2030 року.</w:t>
      </w:r>
    </w:p>
    <w:p>
      <w:pPr>
        <w:pStyle w:val="Normal"/>
        <w:spacing w:lineRule="auto" w:line="240" w:before="0" w:after="0"/>
        <w:jc w:val="center"/>
        <w:rPr/>
      </w:pPr>
      <w:r/>
      <w:r>
        <w:rPr>
          <w:rFonts w:eastAsia="Times New Roman" w:cs="Times New Roman" w:ascii="Times New Roman" w:hAnsi="Times New Roman"/>
          <w:color w:val="000000"/>
          <w:sz w:val="24"/>
          <w:szCs w:val="24"/>
          <w:shd w:fill="FFFFFF" w:val="clear"/>
          <w:lang w:eastAsia="uk-UA"/>
        </w:rPr>
        <w:drawing>
          <wp:anchor behindDoc="0" distT="0" distB="0" distL="0" distR="0" simplePos="0" locked="0" layoutInCell="0" allowOverlap="1" relativeHeight="40">
            <wp:simplePos x="0" y="0"/>
            <wp:positionH relativeFrom="column">
              <wp:align>center</wp:align>
            </wp:positionH>
            <wp:positionV relativeFrom="paragraph">
              <wp:posOffset>635</wp:posOffset>
            </wp:positionV>
            <wp:extent cx="6364605" cy="3082925"/>
            <wp:effectExtent l="0" t="0" r="0" b="0"/>
            <wp:wrapSquare wrapText="largest"/>
            <wp:docPr id="22" name="Об'єкт15"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t>Рисунок 3.1 Базова лінія споживання енергії в Луцькій МТГ</w:t>
      </w:r>
    </w:p>
    <w:p>
      <w:pPr>
        <w:pStyle w:val="Normal"/>
        <w:spacing w:before="0" w:after="0"/>
        <w:ind w:firstLine="510"/>
        <w:jc w:val="both"/>
        <w:rPr>
          <w:rFonts w:ascii="Times New Roman" w:hAnsi="Times New Roman" w:eastAsia="Times New Roman" w:cs="Times New Roman"/>
          <w:color w:val="000000"/>
          <w:sz w:val="24"/>
          <w:szCs w:val="24"/>
          <w:lang w:eastAsia="uk-UA"/>
        </w:rPr>
      </w:pPr>
      <w:r>
        <w:rPr>
          <w:rFonts w:eastAsia="Times New Roman" w:cs="Times New Roman" w:ascii="Times New Roman" w:hAnsi="Times New Roman"/>
          <w:color w:val="000000"/>
          <w:sz w:val="24"/>
          <w:szCs w:val="24"/>
          <w:lang w:eastAsia="uk-UA"/>
        </w:rPr>
      </w:r>
    </w:p>
    <w:p>
      <w:pPr>
        <w:pStyle w:val="Normal"/>
        <w:spacing w:before="0" w:after="0"/>
        <w:ind w:firstLine="510"/>
        <w:jc w:val="both"/>
        <w:rPr>
          <w:shd w:fill="FFFFFF" w:val="clear"/>
        </w:rPr>
      </w:pPr>
      <w:r>
        <w:rPr>
          <w:rFonts w:eastAsia="Times New Roman" w:cs="Times New Roman" w:ascii="Times New Roman" w:hAnsi="Times New Roman"/>
          <w:color w:val="000000"/>
          <w:sz w:val="24"/>
          <w:szCs w:val="24"/>
          <w:shd w:fill="FFFFFF" w:val="clear"/>
          <w:lang w:eastAsia="uk-UA"/>
        </w:rPr>
        <w:t>Під час формування базової лінії враховано показник зростання населення у Луцькій МТГ та  прогнозовані показники зростання економічного розвитку.</w:t>
      </w:r>
    </w:p>
    <w:p>
      <w:pPr>
        <w:pStyle w:val="Normal"/>
        <w:widowControl w:val="false"/>
        <w:spacing w:before="0" w:after="0"/>
        <w:ind w:firstLine="709"/>
        <w:jc w:val="center"/>
        <w:rPr/>
      </w:pPr>
      <w:r>
        <w:rPr>
          <w:rFonts w:cs="Times New Roman" w:ascii="Times New Roman" w:hAnsi="Times New Roman"/>
          <w:color w:val="000000"/>
          <w:sz w:val="24"/>
          <w:szCs w:val="24"/>
          <w:shd w:fill="FFFFFF" w:val="clear"/>
        </w:rPr>
        <w:t>Таблиця 3.1. </w:t>
      </w:r>
      <w:r>
        <w:rPr>
          <w:rFonts w:cs="Times New Roman" w:ascii="Times New Roman" w:hAnsi="Times New Roman"/>
          <w:color w:val="000000"/>
          <w:sz w:val="24"/>
          <w:szCs w:val="28"/>
          <w:shd w:fill="FFFFFF" w:val="clear"/>
        </w:rPr>
        <w:t>Дані базової лінії споживання енергії, тис.</w:t>
      </w:r>
      <w:r>
        <w:rPr>
          <w:rFonts w:eastAsia="Microsoft Sans Serif" w:cs="Times New Roman" w:ascii="Times New Roman" w:hAnsi="Times New Roman"/>
          <w:color w:val="000000"/>
          <w:kern w:val="2"/>
          <w:sz w:val="24"/>
          <w:szCs w:val="24"/>
          <w:shd w:fill="FFFFFF" w:val="clear"/>
        </w:rPr>
        <w:t>МВт∙год</w:t>
      </w:r>
    </w:p>
    <w:tbl>
      <w:tblPr>
        <w:tblW w:w="10200" w:type="dxa"/>
        <w:jc w:val="start"/>
        <w:tblInd w:w="-181" w:type="dxa"/>
        <w:tblLayout w:type="fixed"/>
        <w:tblCellMar>
          <w:top w:w="0" w:type="dxa"/>
          <w:start w:w="108" w:type="dxa"/>
          <w:bottom w:w="0" w:type="dxa"/>
          <w:end w:w="108" w:type="dxa"/>
        </w:tblCellMar>
        <w:tblLook w:firstRow="1" w:noVBand="1" w:lastRow="0" w:firstColumn="1" w:lastColumn="0" w:noHBand="0" w:val="04a0"/>
      </w:tblPr>
      <w:tblGrid>
        <w:gridCol w:w="1500"/>
        <w:gridCol w:w="747"/>
        <w:gridCol w:w="612"/>
        <w:gridCol w:w="612"/>
        <w:gridCol w:w="612"/>
        <w:gridCol w:w="612"/>
        <w:gridCol w:w="612"/>
        <w:gridCol w:w="612"/>
        <w:gridCol w:w="612"/>
        <w:gridCol w:w="612"/>
        <w:gridCol w:w="612"/>
        <w:gridCol w:w="612"/>
        <w:gridCol w:w="612"/>
        <w:gridCol w:w="612"/>
        <w:gridCol w:w="609"/>
      </w:tblGrid>
      <w:tr>
        <w:trPr/>
        <w:tc>
          <w:tcPr>
            <w:tcW w:w="1500" w:type="dxa"/>
            <w:tcBorders>
              <w:top w:val="single" w:sz="4" w:space="0" w:color="000000"/>
              <w:start w:val="single" w:sz="4" w:space="0" w:color="000000"/>
              <w:bottom w:val="single" w:sz="4" w:space="0" w:color="000000"/>
              <w:end w:val="single" w:sz="4" w:space="0" w:color="000000"/>
            </w:tcBorders>
            <w:shd w:color="auto" w:fill="auto" w:val="clear"/>
            <w:vAlign w:val="bottom"/>
          </w:tcPr>
          <w:p>
            <w:pPr>
              <w:pStyle w:val="Normal"/>
              <w:spacing w:lineRule="auto" w:line="240" w:before="0" w:after="0"/>
              <w:rPr/>
            </w:pPr>
            <w:r>
              <w:rPr>
                <w:rFonts w:eastAsia="Times New Roman" w:cs="Times New Roman" w:ascii="Times New Roman" w:hAnsi="Times New Roman"/>
                <w:color w:val="000000"/>
                <w:sz w:val="20"/>
                <w:szCs w:val="20"/>
                <w:shd w:fill="FFFFFF" w:val="clear"/>
                <w:lang w:eastAsia="uk-UA"/>
              </w:rPr>
              <w:t>Параметри</w:t>
            </w:r>
          </w:p>
        </w:tc>
        <w:tc>
          <w:tcPr>
            <w:tcW w:w="747" w:type="dxa"/>
            <w:tcBorders>
              <w:top w:val="single" w:sz="4" w:space="0" w:color="000000"/>
              <w:start w:val="single" w:sz="4" w:space="0" w:color="000000"/>
              <w:bottom w:val="single" w:sz="4" w:space="0" w:color="000000"/>
              <w:end w:val="single" w:sz="4" w:space="0" w:color="000000"/>
            </w:tcBorders>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2017</w:t>
            </w:r>
          </w:p>
        </w:tc>
        <w:tc>
          <w:tcPr>
            <w:tcW w:w="612" w:type="dxa"/>
            <w:tcBorders>
              <w:top w:val="single" w:sz="4" w:space="0" w:color="000000"/>
              <w:start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2018</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2019</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2021</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2022</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2023</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2024</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2025</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2026</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2027</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2028</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2029</w:t>
            </w:r>
          </w:p>
        </w:tc>
        <w:tc>
          <w:tcPr>
            <w:tcW w:w="609"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shd w:fill="FFFFFF" w:val="clear"/>
                <w:lang w:eastAsia="uk-UA"/>
              </w:rPr>
              <w:t>2030</w:t>
            </w:r>
          </w:p>
        </w:tc>
      </w:tr>
      <w:tr>
        <w:trPr/>
        <w:tc>
          <w:tcPr>
            <w:tcW w:w="1500"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before="0" w:after="0"/>
              <w:rPr/>
            </w:pPr>
            <w:r>
              <w:rPr>
                <w:rFonts w:eastAsia="Times New Roman" w:cs="Times New Roman" w:ascii="Times New Roman" w:hAnsi="Times New Roman"/>
                <w:color w:val="000000"/>
                <w:sz w:val="20"/>
                <w:szCs w:val="20"/>
                <w:shd w:fill="FFFFFF" w:val="clear"/>
                <w:lang w:eastAsia="uk-UA"/>
              </w:rPr>
              <w:t>Базова лінія енергоспоживання</w:t>
            </w:r>
          </w:p>
        </w:tc>
        <w:tc>
          <w:tcPr>
            <w:tcW w:w="747" w:type="dxa"/>
            <w:tcBorders>
              <w:top w:val="single" w:sz="4" w:space="0" w:color="000000"/>
              <w:start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2131,1</w:t>
            </w:r>
          </w:p>
        </w:tc>
        <w:tc>
          <w:tcPr>
            <w:tcW w:w="612" w:type="dxa"/>
            <w:tcBorders>
              <w:start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2118,2</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1819,2</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2188,3</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2311,0</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2076,8</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2161,4</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2218,6</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2254,1</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2283,4</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2310,8</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2335,1</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2357,3</w:t>
            </w:r>
          </w:p>
        </w:tc>
        <w:tc>
          <w:tcPr>
            <w:tcW w:w="609"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2378,5</w:t>
            </w:r>
          </w:p>
        </w:tc>
      </w:tr>
      <w:tr>
        <w:trPr/>
        <w:tc>
          <w:tcPr>
            <w:tcW w:w="1500"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before="0" w:after="0"/>
              <w:rPr/>
            </w:pPr>
            <w:r>
              <w:rPr>
                <w:rFonts w:eastAsia="Times New Roman" w:cs="Times New Roman" w:ascii="Times New Roman" w:hAnsi="Times New Roman"/>
                <w:color w:val="000000"/>
                <w:sz w:val="20"/>
                <w:szCs w:val="20"/>
                <w:shd w:fill="FFFFFF" w:val="clear"/>
                <w:lang w:eastAsia="uk-UA"/>
              </w:rPr>
              <w:t>Історичне і прогнозоване енергоспоживання</w:t>
            </w:r>
          </w:p>
        </w:tc>
        <w:tc>
          <w:tcPr>
            <w:tcW w:w="747" w:type="dxa"/>
            <w:tcBorders>
              <w:top w:val="single" w:sz="4" w:space="0" w:color="000000"/>
              <w:start w:val="single" w:sz="4" w:space="0" w:color="000000"/>
              <w:bottom w:val="single" w:sz="4" w:space="0" w:color="000000"/>
              <w:end w:val="single" w:sz="4" w:space="0" w:color="000000"/>
            </w:tcBorders>
            <w:tcMar>
              <w:start w:w="28" w:type="dxa"/>
              <w:end w:w="28" w:type="dxa"/>
            </w:tcMar>
            <w:vAlign w:val="center"/>
          </w:tcPr>
          <w:p>
            <w:pPr>
              <w:pStyle w:val="Style25"/>
              <w:spacing w:before="0" w:after="200"/>
              <w:jc w:val="center"/>
              <w:rPr/>
            </w:pPr>
            <w:r>
              <w:rPr>
                <w:rFonts w:ascii="Times New Roman" w:hAnsi="Times New Roman"/>
                <w:color w:val="000000"/>
                <w:sz w:val="20"/>
                <w:szCs w:val="20"/>
              </w:rPr>
              <w:t>2131,1</w:t>
            </w:r>
          </w:p>
        </w:tc>
        <w:tc>
          <w:tcPr>
            <w:tcW w:w="612" w:type="dxa"/>
            <w:tcBorders>
              <w:start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2118,2</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1819,2</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2188,3</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2311,0</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2076,8</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2161,4</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2218,6</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2169,1</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2118,1</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2066,2</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2011,2</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1952,2</w:t>
            </w:r>
          </w:p>
        </w:tc>
        <w:tc>
          <w:tcPr>
            <w:tcW w:w="609"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1790,7</w:t>
            </w:r>
          </w:p>
        </w:tc>
      </w:tr>
      <w:tr>
        <w:trPr/>
        <w:tc>
          <w:tcPr>
            <w:tcW w:w="1500" w:type="dxa"/>
            <w:tcBorders>
              <w:start w:val="single" w:sz="4" w:space="0" w:color="000000"/>
              <w:bottom w:val="single" w:sz="4" w:space="0" w:color="000000"/>
              <w:end w:val="single" w:sz="4" w:space="0" w:color="000000"/>
            </w:tcBorders>
            <w:shd w:color="auto" w:fill="auto" w:val="clear"/>
            <w:vAlign w:val="bottom"/>
          </w:tcPr>
          <w:p>
            <w:pPr>
              <w:pStyle w:val="Style25"/>
              <w:spacing w:before="0" w:after="0"/>
              <w:rPr/>
            </w:pPr>
            <w:r>
              <w:rPr>
                <w:rFonts w:ascii="Times New Roman" w:hAnsi="Times New Roman"/>
                <w:color w:val="000000"/>
                <w:sz w:val="20"/>
                <w:szCs w:val="20"/>
              </w:rPr>
              <w:t>Споживання від ВДЕ</w:t>
            </w:r>
          </w:p>
        </w:tc>
        <w:tc>
          <w:tcPr>
            <w:tcW w:w="747" w:type="dxa"/>
            <w:tcBorders>
              <w:start w:val="single" w:sz="4" w:space="0" w:color="000000"/>
              <w:bottom w:val="single" w:sz="4" w:space="0" w:color="000000"/>
              <w:end w:val="single" w:sz="4" w:space="0" w:color="000000"/>
            </w:tcBorders>
            <w:tcMar>
              <w:start w:w="28" w:type="dxa"/>
              <w:end w:w="28" w:type="dxa"/>
            </w:tcMar>
            <w:vAlign w:val="center"/>
          </w:tcPr>
          <w:p>
            <w:pPr>
              <w:pStyle w:val="Style25"/>
              <w:spacing w:before="0" w:after="200"/>
              <w:jc w:val="center"/>
              <w:rPr/>
            </w:pPr>
            <w:r>
              <w:rPr>
                <w:rFonts w:ascii="Times New Roman" w:hAnsi="Times New Roman"/>
                <w:color w:val="000000"/>
                <w:sz w:val="20"/>
                <w:szCs w:val="20"/>
              </w:rPr>
              <w:t>74,2</w:t>
            </w:r>
          </w:p>
        </w:tc>
        <w:tc>
          <w:tcPr>
            <w:tcW w:w="612" w:type="dxa"/>
            <w:tcBorders>
              <w:start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76,5</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78,9</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81,3</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82,0</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82,4</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84,4</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86,8</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97,8</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108,9</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119,9</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131,0</w:t>
            </w:r>
          </w:p>
        </w:tc>
        <w:tc>
          <w:tcPr>
            <w:tcW w:w="612"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142,0</w:t>
            </w:r>
          </w:p>
        </w:tc>
        <w:tc>
          <w:tcPr>
            <w:tcW w:w="609" w:type="dxa"/>
            <w:tcBorders>
              <w:bottom w:val="single" w:sz="4" w:space="0" w:color="000000"/>
              <w:end w:val="single" w:sz="4" w:space="0" w:color="000000"/>
            </w:tcBorders>
            <w:shd w:color="auto" w:fill="auto" w:val="clear"/>
            <w:tcMar>
              <w:start w:w="28" w:type="dxa"/>
              <w:end w:w="28" w:type="dxa"/>
            </w:tcMar>
            <w:vAlign w:val="center"/>
          </w:tcPr>
          <w:p>
            <w:pPr>
              <w:pStyle w:val="Style25"/>
              <w:spacing w:before="0" w:after="200"/>
              <w:jc w:val="center"/>
              <w:rPr/>
            </w:pPr>
            <w:r>
              <w:rPr>
                <w:rFonts w:ascii="Times New Roman" w:hAnsi="Times New Roman"/>
                <w:color w:val="000000"/>
                <w:sz w:val="20"/>
                <w:szCs w:val="20"/>
              </w:rPr>
              <w:t>153,1</w:t>
            </w:r>
          </w:p>
        </w:tc>
      </w:tr>
      <w:tr>
        <w:trPr/>
        <w:tc>
          <w:tcPr>
            <w:tcW w:w="1500" w:type="dxa"/>
            <w:tcBorders>
              <w:top w:val="single" w:sz="4" w:space="0" w:color="000000"/>
              <w:start w:val="single" w:sz="4" w:space="0" w:color="000000"/>
              <w:bottom w:val="single" w:sz="4" w:space="0" w:color="000000"/>
              <w:end w:val="single" w:sz="4" w:space="0" w:color="000000"/>
            </w:tcBorders>
            <w:shd w:color="auto" w:fill="auto" w:val="clear"/>
            <w:vAlign w:val="bottom"/>
          </w:tcPr>
          <w:p>
            <w:pPr>
              <w:pStyle w:val="Normal"/>
              <w:spacing w:lineRule="auto" w:line="240" w:before="0" w:after="0"/>
              <w:rPr/>
            </w:pPr>
            <w:r>
              <w:rPr>
                <w:rFonts w:eastAsia="Times New Roman" w:cs="Times New Roman" w:ascii="Times New Roman" w:hAnsi="Times New Roman"/>
                <w:color w:val="000000"/>
                <w:sz w:val="20"/>
                <w:szCs w:val="20"/>
                <w:shd w:fill="FFFFFF" w:val="clear"/>
                <w:lang w:eastAsia="uk-UA"/>
              </w:rPr>
              <w:t>Очікуване зменшення енергоспоживання</w:t>
            </w:r>
          </w:p>
        </w:tc>
        <w:tc>
          <w:tcPr>
            <w:tcW w:w="747" w:type="dxa"/>
            <w:tcBorders>
              <w:top w:val="single" w:sz="4" w:space="0" w:color="000000"/>
              <w:start w:val="single" w:sz="4" w:space="0" w:color="000000"/>
              <w:bottom w:val="single" w:sz="4" w:space="0" w:color="000000"/>
              <w:end w:val="single" w:sz="4" w:space="0" w:color="000000"/>
            </w:tcBorders>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0,00</w:t>
            </w:r>
          </w:p>
        </w:tc>
        <w:tc>
          <w:tcPr>
            <w:tcW w:w="612" w:type="dxa"/>
            <w:tcBorders>
              <w:top w:val="single" w:sz="4" w:space="0" w:color="000000"/>
              <w:start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0,0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85,0</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165,3</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244,7</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323,9</w:t>
            </w:r>
          </w:p>
        </w:tc>
        <w:tc>
          <w:tcPr>
            <w:tcW w:w="612"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405,1</w:t>
            </w:r>
          </w:p>
        </w:tc>
        <w:tc>
          <w:tcPr>
            <w:tcW w:w="609" w:type="dxa"/>
            <w:tcBorders>
              <w:top w:val="single" w:sz="4" w:space="0" w:color="000000"/>
              <w:bottom w:val="single" w:sz="4" w:space="0" w:color="000000"/>
              <w:end w:val="single" w:sz="4" w:space="0" w:color="000000"/>
            </w:tcBorders>
            <w:shd w:color="auto" w:fill="auto" w:val="clear"/>
            <w:tcMar>
              <w:start w:w="28" w:type="dxa"/>
              <w:end w:w="28" w:type="dxa"/>
            </w:tcMar>
            <w:vAlign w:val="center"/>
          </w:tcPr>
          <w:p>
            <w:pPr>
              <w:pStyle w:val="Style25"/>
              <w:spacing w:before="0" w:after="0"/>
              <w:jc w:val="center"/>
              <w:rPr/>
            </w:pPr>
            <w:r>
              <w:rPr>
                <w:rFonts w:cs="Times New Roman" w:ascii="Times New Roman" w:hAnsi="Times New Roman"/>
                <w:color w:val="000000"/>
                <w:sz w:val="20"/>
                <w:szCs w:val="20"/>
                <w:shd w:fill="FFFFFF" w:val="clear"/>
              </w:rPr>
              <w:t>587,8</w:t>
            </w:r>
          </w:p>
        </w:tc>
      </w:tr>
    </w:tbl>
    <w:p>
      <w:pPr>
        <w:pStyle w:val="Normal"/>
        <w:widowControl w:val="false"/>
        <w:spacing w:before="0" w:after="0"/>
        <w:ind w:firstLine="709"/>
        <w:jc w:val="both"/>
        <w:rPr/>
      </w:pPr>
      <w:r>
        <w:rPr>
          <w:rFonts w:cs="Times New Roman" w:ascii="Times New Roman" w:hAnsi="Times New Roman"/>
          <w:color w:val="000000"/>
          <w:sz w:val="24"/>
          <w:szCs w:val="28"/>
          <w:shd w:fill="FFFFFF" w:val="clear"/>
        </w:rPr>
        <w:t>Для подальшого планування та оцінювання ефекту від запланованих заходів обираємо 2017 рік, як базовий.</w:t>
      </w:r>
    </w:p>
    <w:p>
      <w:pPr>
        <w:pStyle w:val="BodyText"/>
        <w:spacing w:before="0" w:after="0"/>
        <w:ind w:firstLine="567"/>
        <w:jc w:val="center"/>
        <w:rPr/>
      </w:pPr>
      <w:r>
        <w:rPr>
          <w:rFonts w:eastAsia="Times New Roman" w:cs="Times New Roman" w:ascii="Times New Roman" w:hAnsi="Times New Roman"/>
          <w:color w:val="000000"/>
          <w:sz w:val="24"/>
          <w:szCs w:val="24"/>
          <w:shd w:fill="FFFFFF" w:val="clear"/>
          <w:lang w:eastAsia="ru-RU"/>
        </w:rPr>
        <w:t xml:space="preserve">Таблиця 3.2  </w:t>
      </w:r>
      <w:r>
        <w:rPr>
          <w:rFonts w:eastAsia="Times New Roman" w:cs="Times New Roman" w:ascii="Times New Roman" w:hAnsi="Times New Roman"/>
          <w:color w:val="000000"/>
          <w:sz w:val="24"/>
          <w:szCs w:val="24"/>
          <w:shd w:fill="FFFFFF" w:val="clear"/>
          <w:lang w:eastAsia="uk-UA"/>
        </w:rPr>
        <w:t>Конкретні цілі Луцької МТГ до 2030 року</w:t>
      </w:r>
    </w:p>
    <w:tbl>
      <w:tblPr>
        <w:tblW w:w="10155" w:type="dxa"/>
        <w:jc w:val="start"/>
        <w:tblInd w:w="-153" w:type="dxa"/>
        <w:tblLayout w:type="fixed"/>
        <w:tblCellMar>
          <w:top w:w="55" w:type="dxa"/>
          <w:start w:w="108" w:type="dxa"/>
          <w:bottom w:w="55" w:type="dxa"/>
          <w:end w:w="108" w:type="dxa"/>
        </w:tblCellMar>
        <w:tblLook w:firstRow="1" w:noVBand="1" w:lastRow="0" w:firstColumn="1" w:lastColumn="0" w:noHBand="0" w:val="04a0"/>
      </w:tblPr>
      <w:tblGrid>
        <w:gridCol w:w="5116"/>
        <w:gridCol w:w="5038"/>
      </w:tblGrid>
      <w:tr>
        <w:trPr/>
        <w:tc>
          <w:tcPr>
            <w:tcW w:w="5116" w:type="dxa"/>
            <w:tcBorders>
              <w:top w:val="single" w:sz="4" w:space="0" w:color="000000"/>
              <w:start w:val="single" w:sz="4" w:space="0" w:color="000000"/>
              <w:bottom w:val="single" w:sz="4" w:space="0" w:color="000000"/>
            </w:tcBorders>
          </w:tcPr>
          <w:p>
            <w:pPr>
              <w:pStyle w:val="Normal"/>
              <w:spacing w:before="0" w:after="0"/>
              <w:jc w:val="center"/>
              <w:rPr/>
            </w:pPr>
            <w:r>
              <w:rPr>
                <w:rFonts w:cs="Times New Roman" w:ascii="Times New Roman" w:hAnsi="Times New Roman"/>
                <w:sz w:val="20"/>
                <w:szCs w:val="20"/>
                <w:shd w:fill="FFFFFF" w:val="clear"/>
                <w:lang w:eastAsia="ru-RU"/>
              </w:rPr>
              <w:t>Конкретні цілі</w:t>
            </w:r>
          </w:p>
        </w:tc>
        <w:tc>
          <w:tcPr>
            <w:tcW w:w="503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pPr>
            <w:r>
              <w:rPr>
                <w:rFonts w:cs="Times New Roman" w:ascii="Times New Roman" w:hAnsi="Times New Roman"/>
                <w:sz w:val="20"/>
                <w:szCs w:val="20"/>
                <w:shd w:fill="FFFFFF" w:val="clear"/>
                <w:lang w:eastAsia="ru-RU"/>
              </w:rPr>
              <w:t>Кількісні показники</w:t>
            </w:r>
          </w:p>
        </w:tc>
      </w:tr>
      <w:tr>
        <w:trPr/>
        <w:tc>
          <w:tcPr>
            <w:tcW w:w="5116" w:type="dxa"/>
            <w:tcBorders>
              <w:start w:val="single" w:sz="4" w:space="0" w:color="000000"/>
              <w:bottom w:val="single" w:sz="4" w:space="0" w:color="000000"/>
            </w:tcBorders>
            <w:vAlign w:val="center"/>
          </w:tcPr>
          <w:p>
            <w:pPr>
              <w:pStyle w:val="Normal"/>
              <w:spacing w:before="0" w:after="0"/>
              <w:rPr>
                <w:sz w:val="20"/>
                <w:szCs w:val="20"/>
              </w:rPr>
            </w:pPr>
            <w:r>
              <w:rPr>
                <w:rFonts w:cs="Times New Roman" w:ascii="Times New Roman" w:hAnsi="Times New Roman"/>
                <w:sz w:val="20"/>
                <w:szCs w:val="20"/>
                <w:shd w:fill="FFFFFF" w:val="clear"/>
                <w:lang w:eastAsia="ru-RU"/>
              </w:rPr>
              <w:t>Скорочення енергоспоживання внаслідок підвищення енергоефективності</w:t>
            </w:r>
          </w:p>
        </w:tc>
        <w:tc>
          <w:tcPr>
            <w:tcW w:w="5038" w:type="dxa"/>
            <w:tcBorders>
              <w:start w:val="single" w:sz="4" w:space="0" w:color="000000"/>
              <w:bottom w:val="single" w:sz="4" w:space="0" w:color="000000"/>
              <w:end w:val="single" w:sz="4" w:space="0" w:color="000000"/>
            </w:tcBorders>
            <w:vAlign w:val="center"/>
          </w:tcPr>
          <w:p>
            <w:pPr>
              <w:pStyle w:val="Normal"/>
              <w:spacing w:before="0" w:after="0"/>
              <w:jc w:val="center"/>
              <w:rPr>
                <w:sz w:val="20"/>
                <w:szCs w:val="20"/>
              </w:rPr>
            </w:pPr>
            <w:r>
              <w:rPr>
                <w:rFonts w:ascii="Times New Roman" w:hAnsi="Times New Roman"/>
                <w:sz w:val="20"/>
                <w:szCs w:val="20"/>
                <w:shd w:fill="FFFFFF" w:val="clear"/>
                <w:lang w:eastAsia="ru-RU"/>
              </w:rPr>
              <w:t xml:space="preserve">17 % або 304 609,4 </w:t>
            </w:r>
            <w:r>
              <w:rPr>
                <w:rFonts w:eastAsia="Microsoft Sans Serif" w:cs="Times New Roman" w:ascii="Times New Roman" w:hAnsi="Times New Roman"/>
                <w:color w:val="000000"/>
                <w:kern w:val="2"/>
                <w:sz w:val="20"/>
                <w:szCs w:val="20"/>
                <w:shd w:fill="FFFFFF" w:val="clear"/>
                <w:lang w:eastAsia="ru-RU"/>
              </w:rPr>
              <w:t>МВт∙год</w:t>
            </w:r>
          </w:p>
        </w:tc>
      </w:tr>
      <w:tr>
        <w:trPr/>
        <w:tc>
          <w:tcPr>
            <w:tcW w:w="5116" w:type="dxa"/>
            <w:tcBorders>
              <w:start w:val="single" w:sz="4" w:space="0" w:color="000000"/>
              <w:bottom w:val="single" w:sz="4" w:space="0" w:color="000000"/>
            </w:tcBorders>
            <w:vAlign w:val="center"/>
          </w:tcPr>
          <w:p>
            <w:pPr>
              <w:pStyle w:val="Normal"/>
              <w:spacing w:before="0" w:after="0"/>
              <w:rPr>
                <w:sz w:val="20"/>
                <w:szCs w:val="20"/>
              </w:rPr>
            </w:pPr>
            <w:r>
              <w:rPr>
                <w:rFonts w:cs="Times New Roman" w:ascii="Times New Roman" w:hAnsi="Times New Roman"/>
                <w:sz w:val="20"/>
                <w:szCs w:val="20"/>
                <w:shd w:fill="FFFFFF" w:val="clear"/>
                <w:lang w:eastAsia="uk-UA"/>
              </w:rPr>
              <w:t>Підвищення частки ВДЕ в кінцевому споживанні енергії</w:t>
            </w:r>
          </w:p>
        </w:tc>
        <w:tc>
          <w:tcPr>
            <w:tcW w:w="5038" w:type="dxa"/>
            <w:tcBorders>
              <w:start w:val="single" w:sz="4" w:space="0" w:color="000000"/>
              <w:bottom w:val="single" w:sz="4" w:space="0" w:color="000000"/>
              <w:end w:val="single" w:sz="4" w:space="0" w:color="000000"/>
            </w:tcBorders>
            <w:vAlign w:val="center"/>
          </w:tcPr>
          <w:p>
            <w:pPr>
              <w:pStyle w:val="Normal"/>
              <w:spacing w:before="0" w:after="0"/>
              <w:jc w:val="center"/>
              <w:rPr>
                <w:sz w:val="20"/>
                <w:szCs w:val="20"/>
              </w:rPr>
            </w:pPr>
            <w:r>
              <w:rPr>
                <w:rFonts w:ascii="Times New Roman" w:hAnsi="Times New Roman"/>
                <w:sz w:val="20"/>
                <w:szCs w:val="20"/>
                <w:shd w:fill="FFFFFF" w:val="clear"/>
                <w:lang w:eastAsia="ru-RU"/>
              </w:rPr>
              <w:t xml:space="preserve">3,7 %, або  66 342 </w:t>
            </w:r>
            <w:r>
              <w:rPr>
                <w:rFonts w:eastAsia="Microsoft Sans Serif" w:cs="Times New Roman" w:ascii="Times New Roman" w:hAnsi="Times New Roman"/>
                <w:color w:val="000000"/>
                <w:kern w:val="2"/>
                <w:sz w:val="20"/>
                <w:szCs w:val="20"/>
                <w:shd w:fill="FFFFFF" w:val="clear"/>
                <w:lang w:eastAsia="ru-RU"/>
              </w:rPr>
              <w:t>МВт∙год</w:t>
            </w:r>
          </w:p>
        </w:tc>
      </w:tr>
    </w:tbl>
    <w:p>
      <w:pPr>
        <w:pStyle w:val="Normal"/>
        <w:spacing w:before="0" w:after="0"/>
        <w:jc w:val="center"/>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p>
      <w:pPr>
        <w:pStyle w:val="Normal"/>
        <w:spacing w:before="0" w:after="0"/>
        <w:jc w:val="center"/>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p>
      <w:pPr>
        <w:pStyle w:val="Normal"/>
        <w:spacing w:before="0" w:after="0"/>
        <w:jc w:val="center"/>
        <w:rPr/>
      </w:pPr>
      <w:r>
        <w:rPr>
          <w:rFonts w:eastAsia="Times New Roman" w:cs="Times New Roman" w:ascii="Times New Roman" w:hAnsi="Times New Roman"/>
          <w:color w:val="000000"/>
          <w:sz w:val="24"/>
          <w:szCs w:val="24"/>
          <w:lang w:eastAsia="ru-RU"/>
        </w:rPr>
        <w:t>Таблиця 3.3. Секторальні цілі щодо підвищення енергоефективності та розвитку ВДЕ до 2030 року</w:t>
      </w:r>
    </w:p>
    <w:tbl>
      <w:tblPr>
        <w:tblW w:w="9798" w:type="dxa"/>
        <w:jc w:val="start"/>
        <w:tblInd w:w="79" w:type="dxa"/>
        <w:tblLayout w:type="fixed"/>
        <w:tblCellMar>
          <w:top w:w="0" w:type="dxa"/>
          <w:start w:w="108" w:type="dxa"/>
          <w:bottom w:w="0" w:type="dxa"/>
          <w:end w:w="108" w:type="dxa"/>
        </w:tblCellMar>
        <w:tblLook w:firstRow="1" w:noVBand="1" w:lastRow="0" w:firstColumn="1" w:lastColumn="0" w:noHBand="0" w:val="04a0"/>
      </w:tblPr>
      <w:tblGrid>
        <w:gridCol w:w="3976"/>
        <w:gridCol w:w="1574"/>
        <w:gridCol w:w="1531"/>
        <w:gridCol w:w="631"/>
        <w:gridCol w:w="1408"/>
        <w:gridCol w:w="677"/>
      </w:tblGrid>
      <w:tr>
        <w:trPr/>
        <w:tc>
          <w:tcPr>
            <w:tcW w:w="39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Назва сектору</w:t>
            </w:r>
          </w:p>
        </w:tc>
        <w:tc>
          <w:tcPr>
            <w:tcW w:w="5821" w:type="dxa"/>
            <w:gridSpan w:val="5"/>
            <w:tcBorders>
              <w:top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2030</w:t>
            </w:r>
          </w:p>
        </w:tc>
      </w:tr>
      <w:tr>
        <w:trPr/>
        <w:tc>
          <w:tcPr>
            <w:tcW w:w="397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0"/>
              <w:rPr>
                <w:rFonts w:ascii="Times New Roman" w:hAnsi="Times New Roman"/>
                <w:sz w:val="20"/>
                <w:szCs w:val="20"/>
              </w:rPr>
            </w:pPr>
            <w:r>
              <w:rPr>
                <w:rFonts w:ascii="Times New Roman" w:hAnsi="Times New Roman"/>
                <w:sz w:val="20"/>
                <w:szCs w:val="20"/>
              </w:rPr>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Прогнозоване кінцеве споживання енергії</w:t>
            </w:r>
          </w:p>
        </w:tc>
        <w:tc>
          <w:tcPr>
            <w:tcW w:w="216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Підвищення енергоефективності</w:t>
            </w:r>
          </w:p>
        </w:tc>
        <w:tc>
          <w:tcPr>
            <w:tcW w:w="2085" w:type="dxa"/>
            <w:gridSpan w:val="2"/>
            <w:tcBorders>
              <w:top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Розвиток ВДЕ</w:t>
            </w:r>
          </w:p>
        </w:tc>
      </w:tr>
      <w:tr>
        <w:trPr/>
        <w:tc>
          <w:tcPr>
            <w:tcW w:w="397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0"/>
              <w:rPr>
                <w:rFonts w:ascii="Times New Roman" w:hAnsi="Times New Roman"/>
                <w:sz w:val="20"/>
                <w:szCs w:val="20"/>
              </w:rPr>
            </w:pPr>
            <w:r>
              <w:rPr>
                <w:rFonts w:ascii="Times New Roman" w:hAnsi="Times New Roman"/>
                <w:sz w:val="20"/>
                <w:szCs w:val="20"/>
              </w:rPr>
            </w:r>
          </w:p>
        </w:tc>
        <w:tc>
          <w:tcPr>
            <w:tcW w:w="1574"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МВт.год/рік</w:t>
            </w:r>
          </w:p>
        </w:tc>
        <w:tc>
          <w:tcPr>
            <w:tcW w:w="1531"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МВт</w:t>
            </w:r>
            <w:r>
              <w:rPr>
                <w:rFonts w:eastAsia="Times New Roman" w:cs="Cambria Math" w:ascii="Times New Roman" w:hAnsi="Times New Roman"/>
                <w:color w:val="000000"/>
                <w:sz w:val="20"/>
                <w:szCs w:val="20"/>
              </w:rPr>
              <w:t>.</w:t>
            </w:r>
            <w:r>
              <w:rPr>
                <w:rFonts w:eastAsia="Times New Roman" w:cs="Times New Roman" w:ascii="Times New Roman" w:hAnsi="Times New Roman"/>
                <w:color w:val="000000"/>
                <w:sz w:val="20"/>
                <w:szCs w:val="20"/>
              </w:rPr>
              <w:t>год/рік</w:t>
            </w:r>
          </w:p>
        </w:tc>
        <w:tc>
          <w:tcPr>
            <w:tcW w:w="631"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w:t>
            </w:r>
          </w:p>
        </w:tc>
        <w:tc>
          <w:tcPr>
            <w:tcW w:w="1408" w:type="dxa"/>
            <w:tcBorders>
              <w:top w:val="single" w:sz="4" w:space="0" w:color="000000"/>
              <w:start w:val="single" w:sz="4" w:space="0" w:color="000000"/>
              <w:bottom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МВт</w:t>
            </w:r>
            <w:r>
              <w:rPr>
                <w:rFonts w:eastAsia="Times New Roman" w:cs="Cambria Math" w:ascii="Times New Roman" w:hAnsi="Times New Roman"/>
                <w:color w:val="000000"/>
                <w:sz w:val="20"/>
                <w:szCs w:val="20"/>
              </w:rPr>
              <w:t>.</w:t>
            </w:r>
            <w:r>
              <w:rPr>
                <w:rFonts w:eastAsia="Times New Roman" w:cs="Times New Roman" w:ascii="Times New Roman" w:hAnsi="Times New Roman"/>
                <w:color w:val="000000"/>
                <w:sz w:val="20"/>
                <w:szCs w:val="20"/>
              </w:rPr>
              <w:t>год/рік</w:t>
            </w:r>
          </w:p>
        </w:tc>
        <w:tc>
          <w:tcPr>
            <w:tcW w:w="677" w:type="dxa"/>
            <w:tcBorders>
              <w:top w:val="single" w:sz="4" w:space="0" w:color="000000"/>
              <w:start w:val="single" w:sz="4" w:space="0" w:color="000000"/>
              <w:bottom w:val="single" w:sz="4" w:space="0" w:color="000000"/>
              <w:end w:val="single" w:sz="4" w:space="0" w:color="000000"/>
            </w:tcBorders>
            <w:tcMar>
              <w:top w:w="55" w:type="dxa"/>
              <w:bottom w:w="55" w:type="dxa"/>
            </w:tcMar>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w:t>
            </w:r>
          </w:p>
        </w:tc>
      </w:tr>
      <w:tr>
        <w:trPr/>
        <w:tc>
          <w:tcPr>
            <w:tcW w:w="9797" w:type="dxa"/>
            <w:gridSpan w:val="6"/>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color w:val="000000"/>
                <w:sz w:val="20"/>
                <w:szCs w:val="20"/>
              </w:rPr>
              <w:t>Обов'язкові сектори</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Громадські будівлі (Муніципальні будівлі)</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99928,3</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186,9</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0,2</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Житлові будівлі</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981233,6</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240000,0</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24,5</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58242,0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5,9</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теплопостачання</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104359,9</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22788,2</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21,8</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водопостачання і водовідведення</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12900,0</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7580,0</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58,8</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Сфера управління побутовими відходами</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3997,9</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ascii="Times New Roman" w:hAnsi="Times New Roman"/>
                <w:sz w:val="20"/>
                <w:szCs w:val="20"/>
              </w:rPr>
              <w:t>Зовнішнє освітлення</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3708,0</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Громадський транспорт</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37535,2</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1347,1</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3,6</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Всього:</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sz w:val="20"/>
                <w:szCs w:val="20"/>
              </w:rPr>
              <w:t>1243662,8</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271902,2</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21,9</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58242,0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4,7</w:t>
            </w:r>
          </w:p>
        </w:tc>
      </w:tr>
      <w:tr>
        <w:trPr/>
        <w:tc>
          <w:tcPr>
            <w:tcW w:w="9797" w:type="dxa"/>
            <w:gridSpan w:val="6"/>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cs="Times New Roman" w:ascii="Times New Roman" w:hAnsi="Times New Roman"/>
                <w:color w:val="000000"/>
                <w:sz w:val="20"/>
                <w:szCs w:val="20"/>
              </w:rPr>
              <w:t>Інші сектори</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Муніципальний транспорт</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4783,4</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800,0</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16,7</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ascii="Times New Roman" w:hAnsi="Times New Roman"/>
                <w:sz w:val="20"/>
                <w:szCs w:val="20"/>
              </w:rPr>
              <w:t>Приватний та комерційний транспорт</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204596,5</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5154,2</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2,5</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Третинні будівлі, обладнання/ об'єкти</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337694,5</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26752,9</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7,9</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1200,0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0,4</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Місцеве виробництво електроенергії з ВДЕ</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0,0</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6900,0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Всього</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547074,4</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32707,1</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6,0</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8100,0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1,5</w:t>
            </w:r>
          </w:p>
        </w:tc>
      </w:tr>
      <w:tr>
        <w:trPr/>
        <w:tc>
          <w:tcPr>
            <w:tcW w:w="3976" w:type="dxa"/>
            <w:tcBorders>
              <w:start w:val="single" w:sz="4" w:space="0" w:color="000000"/>
              <w:bottom w:val="single" w:sz="4" w:space="0" w:color="000000"/>
              <w:end w:val="single" w:sz="4" w:space="0" w:color="000000"/>
            </w:tcBorders>
            <w:vAlign w:val="center"/>
          </w:tcPr>
          <w:p>
            <w:pPr>
              <w:pStyle w:val="Normal"/>
              <w:spacing w:lineRule="auto" w:line="240" w:before="0" w:after="0"/>
              <w:rPr/>
            </w:pPr>
            <w:r>
              <w:rPr>
                <w:rFonts w:cs="Times New Roman" w:ascii="Times New Roman" w:hAnsi="Times New Roman"/>
                <w:color w:val="000000"/>
                <w:sz w:val="20"/>
                <w:szCs w:val="20"/>
              </w:rPr>
              <w:t>ЗАГАЛОМ</w:t>
            </w:r>
          </w:p>
        </w:tc>
        <w:tc>
          <w:tcPr>
            <w:tcW w:w="1574"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1790737,3</w:t>
            </w:r>
          </w:p>
        </w:tc>
        <w:tc>
          <w:tcPr>
            <w:tcW w:w="15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304609,4</w:t>
            </w:r>
          </w:p>
        </w:tc>
        <w:tc>
          <w:tcPr>
            <w:tcW w:w="631"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17,0</w:t>
            </w:r>
          </w:p>
        </w:tc>
        <w:tc>
          <w:tcPr>
            <w:tcW w:w="1408"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66342,0</w:t>
            </w:r>
          </w:p>
        </w:tc>
        <w:tc>
          <w:tcPr>
            <w:tcW w:w="677" w:type="dxa"/>
            <w:tcBorders>
              <w:bottom w:val="single" w:sz="4" w:space="0" w:color="000000"/>
              <w:end w:val="single" w:sz="4" w:space="0" w:color="000000"/>
            </w:tcBorders>
            <w:shd w:color="auto" w:fill="FFFFFF" w:val="clear"/>
            <w:vAlign w:val="center"/>
          </w:tcPr>
          <w:p>
            <w:pPr>
              <w:pStyle w:val="Style25"/>
              <w:spacing w:before="0" w:after="0"/>
              <w:jc w:val="center"/>
              <w:rPr/>
            </w:pPr>
            <w:r>
              <w:rPr>
                <w:rFonts w:ascii="Times New Roman" w:hAnsi="Times New Roman"/>
                <w:color w:val="000000"/>
                <w:sz w:val="20"/>
                <w:szCs w:val="20"/>
              </w:rPr>
              <w:t>3,7</w:t>
            </w:r>
          </w:p>
        </w:tc>
      </w:tr>
    </w:tbl>
    <w:p>
      <w:pPr>
        <w:pStyle w:val="Normal"/>
        <w:spacing w:before="0" w:after="0"/>
        <w:jc w:val="center"/>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p>
      <w:pPr>
        <w:pStyle w:val="Normal"/>
        <w:spacing w:before="0" w:after="0"/>
        <w:jc w:val="center"/>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p>
      <w:pPr>
        <w:pStyle w:val="BodyText"/>
        <w:rPr/>
      </w:pPr>
      <w:r>
        <w:rPr/>
      </w:r>
    </w:p>
    <w:p>
      <w:pPr>
        <w:pStyle w:val="BodyText"/>
        <w:rPr>
          <w:rFonts w:ascii="Times New Roman" w:hAnsi="Times New Roman"/>
          <w:b/>
          <w:bCs/>
          <w:sz w:val="24"/>
          <w:szCs w:val="24"/>
        </w:rPr>
      </w:pPr>
      <w:r>
        <w:rPr>
          <w:rFonts w:ascii="Times New Roman" w:hAnsi="Times New Roman"/>
          <w:b/>
          <w:bCs/>
          <w:sz w:val="24"/>
          <w:szCs w:val="24"/>
        </w:rPr>
      </w:r>
      <w:r>
        <w:br w:type="page"/>
      </w:r>
    </w:p>
    <w:p>
      <w:pPr>
        <w:pStyle w:val="111"/>
        <w:spacing w:before="0" w:after="0"/>
        <w:ind w:firstLine="567"/>
        <w:jc w:val="both"/>
        <w:rPr/>
      </w:pPr>
      <w:bookmarkStart w:id="48" w:name="__RefHeading___Toc27554_429042107_копія_"/>
      <w:bookmarkStart w:id="49" w:name="_Toc188020974"/>
      <w:bookmarkEnd w:id="48"/>
      <w:r>
        <w:rPr>
          <w:rFonts w:cs="Times New Roman" w:ascii="Times New Roman" w:hAnsi="Times New Roman"/>
          <w:b/>
          <w:bCs/>
          <w:color w:val="auto"/>
          <w:sz w:val="24"/>
          <w:szCs w:val="24"/>
        </w:rPr>
        <w:t>Розділ 4. Проєкти сталого енергетичного розвитку територіальної громади</w:t>
      </w:r>
      <w:bookmarkEnd w:id="49"/>
    </w:p>
    <w:p>
      <w:pPr>
        <w:pStyle w:val="BodyText"/>
        <w:spacing w:before="0" w:after="0"/>
        <w:ind w:firstLine="567"/>
        <w:jc w:val="both"/>
        <w:rPr/>
      </w:pPr>
      <w:r>
        <w:rPr>
          <w:rFonts w:ascii="Times New Roman" w:hAnsi="Times New Roman"/>
          <w:color w:val="000000"/>
          <w:sz w:val="24"/>
          <w:szCs w:val="24"/>
        </w:rPr>
        <w:t>У таблиці 4.1 </w:t>
      </w:r>
      <w:r>
        <w:rPr>
          <w:rFonts w:cs="Times New Roman" w:ascii="Times New Roman" w:hAnsi="Times New Roman"/>
          <w:color w:val="000000"/>
          <w:sz w:val="24"/>
          <w:szCs w:val="24"/>
          <w:shd w:fill="FFFFFF" w:val="clear"/>
        </w:rPr>
        <w:t>наведена інформація про о</w:t>
      </w:r>
      <w:r>
        <w:rPr>
          <w:rFonts w:ascii="Times New Roman" w:hAnsi="Times New Roman"/>
          <w:color w:val="000000"/>
          <w:sz w:val="24"/>
          <w:szCs w:val="24"/>
        </w:rPr>
        <w:t>сновні очікувані показники технічних та організаційних муніципальних проєктів Луцької МТГ.</w:t>
      </w:r>
    </w:p>
    <w:p>
      <w:pPr>
        <w:pStyle w:val="111"/>
        <w:spacing w:before="0" w:after="0"/>
        <w:ind w:firstLine="567"/>
        <w:jc w:val="center"/>
        <w:rPr/>
      </w:pPr>
      <w:bookmarkStart w:id="50" w:name="__RefHeading___Toc57053_1484869573_копія"/>
      <w:bookmarkEnd w:id="50"/>
      <w:r>
        <w:rPr>
          <w:rFonts w:ascii="Times New Roman" w:hAnsi="Times New Roman"/>
          <w:color w:val="000000"/>
          <w:sz w:val="24"/>
          <w:szCs w:val="24"/>
        </w:rPr>
        <w:t>Таблиця 4.1. Основні очікувані показники технічних та організаційних муніципальних проєктів Луцької МТГ</w:t>
      </w:r>
    </w:p>
    <w:tbl>
      <w:tblPr>
        <w:tblW w:w="9705"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355"/>
        <w:gridCol w:w="2881"/>
        <w:gridCol w:w="1621"/>
        <w:gridCol w:w="1776"/>
        <w:gridCol w:w="1459"/>
        <w:gridCol w:w="1612"/>
      </w:tblGrid>
      <w:tr>
        <w:trPr/>
        <w:tc>
          <w:tcPr>
            <w:tcW w:w="355" w:type="dxa"/>
            <w:vMerge w:val="restart"/>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color w:val="000000"/>
                <w:sz w:val="20"/>
                <w:szCs w:val="20"/>
              </w:rPr>
              <w:t>№</w:t>
            </w:r>
          </w:p>
        </w:tc>
        <w:tc>
          <w:tcPr>
            <w:tcW w:w="2881" w:type="dxa"/>
            <w:vMerge w:val="restart"/>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Назва заходу</w:t>
            </w:r>
          </w:p>
        </w:tc>
        <w:tc>
          <w:tcPr>
            <w:tcW w:w="1621" w:type="dxa"/>
            <w:vMerge w:val="restart"/>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Загальна вартість, млн грн</w:t>
            </w:r>
          </w:p>
        </w:tc>
        <w:tc>
          <w:tcPr>
            <w:tcW w:w="4847" w:type="dxa"/>
            <w:gridSpan w:val="3"/>
            <w:tcBorders>
              <w:top w:val="single" w:sz="4" w:space="0" w:color="000000"/>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sz w:val="20"/>
                <w:szCs w:val="20"/>
              </w:rPr>
              <w:t>Заплановані показники</w:t>
            </w:r>
          </w:p>
        </w:tc>
      </w:tr>
      <w:tr>
        <w:trPr/>
        <w:tc>
          <w:tcPr>
            <w:tcW w:w="355"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2881"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1621" w:type="dxa"/>
            <w:vMerge w:val="continue"/>
            <w:tcBorders>
              <w:start w:val="single" w:sz="4" w:space="0" w:color="000000"/>
              <w:bottom w:val="single" w:sz="4" w:space="0" w:color="000000"/>
            </w:tcBorders>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1776"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Заплановане скорочення енергоспоживання, МВт.год/рік</w:t>
            </w:r>
          </w:p>
        </w:tc>
        <w:tc>
          <w:tcPr>
            <w:tcW w:w="1459"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Виробництво відновлювальної енергії, МВт.год/рік</w:t>
            </w:r>
          </w:p>
        </w:tc>
        <w:tc>
          <w:tcPr>
            <w:tcW w:w="1612" w:type="dxa"/>
            <w:tcBorders>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sz w:val="20"/>
                <w:szCs w:val="20"/>
              </w:rPr>
              <w:t>Зменшення викидів</w:t>
            </w:r>
          </w:p>
          <w:p>
            <w:pPr>
              <w:pStyle w:val="Normal"/>
              <w:spacing w:before="0" w:after="0"/>
              <w:jc w:val="center"/>
              <w:rPr/>
            </w:pPr>
            <w:r>
              <w:rPr>
                <w:rFonts w:ascii="Times New Roman" w:hAnsi="Times New Roman"/>
                <w:sz w:val="20"/>
                <w:szCs w:val="20"/>
              </w:rPr>
              <w:t>СО</w:t>
            </w:r>
            <w:r>
              <w:rPr>
                <w:rFonts w:ascii="Times New Roman" w:hAnsi="Times New Roman"/>
                <w:sz w:val="20"/>
                <w:szCs w:val="20"/>
                <w:vertAlign w:val="subscript"/>
              </w:rPr>
              <w:t>2</w:t>
            </w:r>
            <w:r>
              <w:rPr>
                <w:rFonts w:ascii="Times New Roman" w:hAnsi="Times New Roman"/>
                <w:sz w:val="20"/>
                <w:szCs w:val="20"/>
              </w:rPr>
              <w:t>, т/рік</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1</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Муніципальні будівлі</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209,1</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186,9</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55,7</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2</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Сфера водопостачання та водовідведення</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41,0</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7580,0</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7182,2</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3</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Третинні будівлі</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0,2</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26752,9</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1200,0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8740,4</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4</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Житлові будівлі</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3305,0</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240000,0</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360,0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71750,4</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5</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Транспорт</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561,4</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7301,4</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2457,9</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6</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Сфера теплопостачання</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1416,5</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22788,2</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57882,0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46056,5</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7</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Генерація, постачання та розподіл електроенергії</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195,5</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6900,0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4416,0</w:t>
            </w:r>
          </w:p>
        </w:tc>
      </w:tr>
      <w:tr>
        <w:trPr/>
        <w:tc>
          <w:tcPr>
            <w:tcW w:w="355" w:type="dxa"/>
            <w:tcBorders>
              <w:start w:val="single" w:sz="4" w:space="0" w:color="000000"/>
              <w:bottom w:val="single" w:sz="4" w:space="0" w:color="000000"/>
            </w:tcBorders>
          </w:tcPr>
          <w:p>
            <w:pPr>
              <w:pStyle w:val="Normal"/>
              <w:spacing w:before="0" w:after="0"/>
              <w:jc w:val="center"/>
              <w:rPr/>
            </w:pPr>
            <w:r>
              <w:rPr>
                <w:rFonts w:ascii="Times New Roman" w:hAnsi="Times New Roman"/>
                <w:sz w:val="20"/>
                <w:szCs w:val="20"/>
              </w:rPr>
              <w:t>8</w:t>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Поводження з твердими побутовими відходами</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1,0</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0,0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222,0</w:t>
            </w:r>
          </w:p>
        </w:tc>
      </w:tr>
      <w:tr>
        <w:trPr/>
        <w:tc>
          <w:tcPr>
            <w:tcW w:w="355" w:type="dxa"/>
            <w:tcBorders>
              <w:start w:val="single" w:sz="4" w:space="0" w:color="000000"/>
              <w:bottom w:val="single" w:sz="4" w:space="0" w:color="000000"/>
            </w:tcBorders>
          </w:tcPr>
          <w:p>
            <w:pPr>
              <w:pStyle w:val="Normal"/>
              <w:spacing w:before="0" w:after="0"/>
              <w:rPr>
                <w:rFonts w:ascii="Times New Roman" w:hAnsi="Times New Roman"/>
                <w:sz w:val="20"/>
                <w:szCs w:val="20"/>
              </w:rPr>
            </w:pPr>
            <w:r>
              <w:rPr>
                <w:rFonts w:ascii="Times New Roman" w:hAnsi="Times New Roman"/>
                <w:sz w:val="20"/>
                <w:szCs w:val="20"/>
              </w:rPr>
            </w:r>
          </w:p>
        </w:tc>
        <w:tc>
          <w:tcPr>
            <w:tcW w:w="2881" w:type="dxa"/>
            <w:tcBorders>
              <w:start w:val="single" w:sz="4" w:space="0" w:color="000000"/>
              <w:bottom w:val="single" w:sz="4" w:space="0" w:color="000000"/>
            </w:tcBorders>
          </w:tcPr>
          <w:p>
            <w:pPr>
              <w:pStyle w:val="Normal"/>
              <w:spacing w:before="0" w:after="0"/>
              <w:rPr/>
            </w:pPr>
            <w:r>
              <w:rPr>
                <w:rFonts w:ascii="Times New Roman" w:hAnsi="Times New Roman"/>
                <w:sz w:val="20"/>
                <w:szCs w:val="20"/>
              </w:rPr>
              <w:t>Всього</w:t>
            </w:r>
          </w:p>
        </w:tc>
        <w:tc>
          <w:tcPr>
            <w:tcW w:w="1621"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5729,5</w:t>
            </w:r>
          </w:p>
        </w:tc>
        <w:tc>
          <w:tcPr>
            <w:tcW w:w="1776"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304609,4</w:t>
            </w:r>
          </w:p>
        </w:tc>
        <w:tc>
          <w:tcPr>
            <w:tcW w:w="1459" w:type="dxa"/>
            <w:tcBorders>
              <w:start w:val="single" w:sz="4" w:space="0" w:color="000000"/>
              <w:bottom w:val="single" w:sz="4" w:space="0" w:color="000000"/>
            </w:tcBorders>
            <w:vAlign w:val="center"/>
          </w:tcPr>
          <w:p>
            <w:pPr>
              <w:pStyle w:val="Normal"/>
              <w:spacing w:before="0" w:after="0"/>
              <w:jc w:val="center"/>
              <w:rPr/>
            </w:pPr>
            <w:r>
              <w:rPr>
                <w:rFonts w:ascii="Times New Roman" w:hAnsi="Times New Roman"/>
                <w:sz w:val="20"/>
                <w:szCs w:val="20"/>
              </w:rPr>
              <w:t>66342,0</w:t>
            </w:r>
          </w:p>
        </w:tc>
        <w:tc>
          <w:tcPr>
            <w:tcW w:w="1612" w:type="dxa"/>
            <w:tcBorders>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140881,0</w:t>
            </w:r>
          </w:p>
        </w:tc>
      </w:tr>
    </w:tbl>
    <w:p>
      <w:pPr>
        <w:sectPr>
          <w:headerReference w:type="even" r:id="rId35"/>
          <w:headerReference w:type="default" r:id="rId36"/>
          <w:headerReference w:type="first" r:id="rId37"/>
          <w:footerReference w:type="even" r:id="rId38"/>
          <w:footerReference w:type="default" r:id="rId39"/>
          <w:footerReference w:type="first" r:id="rId40"/>
          <w:type w:val="nextPage"/>
          <w:pgSz w:w="11906" w:h="16838"/>
          <w:pgMar w:left="1701" w:right="567" w:gutter="0" w:header="0" w:top="1134" w:footer="0" w:bottom="1134"/>
          <w:pgNumType w:fmt="decimal"/>
          <w:formProt w:val="false"/>
          <w:textDirection w:val="lrTb"/>
          <w:docGrid w:type="default" w:linePitch="360" w:charSpace="40960"/>
        </w:sectPr>
      </w:pPr>
    </w:p>
    <w:p>
      <w:pPr>
        <w:pStyle w:val="Normal"/>
        <w:spacing w:before="0" w:after="0"/>
        <w:ind w:firstLine="567"/>
        <w:jc w:val="both"/>
        <w:rPr/>
      </w:pPr>
      <w:r>
        <w:rPr>
          <w:rFonts w:cs="Times New Roman" w:ascii="Times New Roman" w:hAnsi="Times New Roman"/>
          <w:sz w:val="24"/>
          <w:szCs w:val="24"/>
          <w:shd w:fill="FFFFFF" w:val="clear"/>
        </w:rPr>
        <w:t>У таблиці 4.2. наведена інформація про перелік заходів щодо покращення енергоефективності та розвитку ВДЕ.</w:t>
      </w:r>
    </w:p>
    <w:p>
      <w:pPr>
        <w:pStyle w:val="Normal"/>
        <w:spacing w:before="0" w:after="0"/>
        <w:jc w:val="center"/>
        <w:rPr/>
      </w:pPr>
      <w:r>
        <w:rPr>
          <w:rFonts w:cs="Times New Roman" w:ascii="Times New Roman" w:hAnsi="Times New Roman"/>
          <w:sz w:val="24"/>
          <w:szCs w:val="24"/>
        </w:rPr>
        <w:t xml:space="preserve">Таблиця 4.2 Перелік заходів щодо покращення енергоефективності та розвитку ВДЕ </w:t>
      </w:r>
    </w:p>
    <w:tbl>
      <w:tblPr>
        <w:tblW w:w="16110" w:type="dxa"/>
        <w:jc w:val="start"/>
        <w:tblInd w:w="13" w:type="dxa"/>
        <w:tblLayout w:type="fixed"/>
        <w:tblCellMar>
          <w:top w:w="55" w:type="dxa"/>
          <w:start w:w="55" w:type="dxa"/>
          <w:bottom w:w="55" w:type="dxa"/>
          <w:end w:w="55" w:type="dxa"/>
        </w:tblCellMar>
        <w:tblLook w:firstRow="1" w:noVBand="1" w:lastRow="0" w:firstColumn="1" w:lastColumn="0" w:noHBand="0" w:val="04a0"/>
      </w:tblPr>
      <w:tblGrid>
        <w:gridCol w:w="449"/>
        <w:gridCol w:w="1935"/>
        <w:gridCol w:w="3286"/>
        <w:gridCol w:w="1081"/>
        <w:gridCol w:w="1244"/>
        <w:gridCol w:w="1079"/>
        <w:gridCol w:w="1695"/>
        <w:gridCol w:w="1350"/>
        <w:gridCol w:w="1081"/>
        <w:gridCol w:w="915"/>
        <w:gridCol w:w="1079"/>
        <w:gridCol w:w="915"/>
      </w:tblGrid>
      <w:tr>
        <w:trPr/>
        <w:tc>
          <w:tcPr>
            <w:tcW w:w="449"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w:t>
            </w:r>
          </w:p>
        </w:tc>
        <w:tc>
          <w:tcPr>
            <w:tcW w:w="1935"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Назва заходу</w:t>
            </w:r>
          </w:p>
        </w:tc>
        <w:tc>
          <w:tcPr>
            <w:tcW w:w="328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Опис заходу</w:t>
            </w:r>
          </w:p>
        </w:tc>
        <w:tc>
          <w:tcPr>
            <w:tcW w:w="108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95" w:leader="none"/>
              </w:tabs>
              <w:spacing w:lineRule="auto" w:line="240" w:before="0" w:after="0"/>
              <w:jc w:val="center"/>
              <w:rPr/>
            </w:pPr>
            <w:r>
              <w:rPr>
                <w:rFonts w:ascii="Times New Roman" w:hAnsi="Times New Roman"/>
                <w:sz w:val="20"/>
                <w:szCs w:val="20"/>
              </w:rPr>
              <w:t>Фінансове джерело</w:t>
            </w:r>
          </w:p>
        </w:tc>
        <w:tc>
          <w:tcPr>
            <w:tcW w:w="1244"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Відповідальний орган</w:t>
            </w:r>
          </w:p>
        </w:tc>
        <w:tc>
          <w:tcPr>
            <w:tcW w:w="1079"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Загальна вартість заходу, тис. грн.</w:t>
            </w:r>
          </w:p>
        </w:tc>
        <w:tc>
          <w:tcPr>
            <w:tcW w:w="41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Заплановані показники</w:t>
            </w:r>
          </w:p>
        </w:tc>
        <w:tc>
          <w:tcPr>
            <w:tcW w:w="1994"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Терміни виконання</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Статус реалізації</w:t>
            </w:r>
          </w:p>
        </w:tc>
      </w:tr>
      <w:tr>
        <w:trPr/>
        <w:tc>
          <w:tcPr>
            <w:tcW w:w="449"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935"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328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4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Заплановане скорочення енергоспоживання, МВт.год.рік</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Виробництво відновлювальної енергії, МВт.год.рік</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Зменшення викидів СО</w:t>
            </w:r>
            <w:r>
              <w:rPr>
                <w:rFonts w:ascii="Times New Roman" w:hAnsi="Times New Roman"/>
                <w:sz w:val="20"/>
                <w:szCs w:val="20"/>
                <w:vertAlign w:val="subscript"/>
              </w:rPr>
              <w:t>2</w:t>
            </w:r>
            <w:r>
              <w:rPr>
                <w:rFonts w:ascii="Times New Roman" w:hAnsi="Times New Roman"/>
                <w:sz w:val="20"/>
                <w:szCs w:val="20"/>
              </w:rPr>
              <w:t>, т/рік</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Початок, рік</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Закінчення, рік</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3</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4</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5</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6</w:t>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7</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8</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9</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10</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11</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12</w:t>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rPr/>
            </w:pPr>
            <w:r>
              <w:rPr>
                <w:rFonts w:ascii="Times New Roman" w:hAnsi="Times New Roman"/>
                <w:sz w:val="20"/>
                <w:szCs w:val="20"/>
              </w:rPr>
              <w:t>1. Муніципальні будівлі</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1.1.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комунального закладу «Луцька загальноосвітня школа І-ІІІ ступенів № 13» (корпус 2) на вул. Чернишевського, 29 в м. Луцьку Волинської області</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має на меті: - добудову окремого корпусу на 360 учнів до школи № 13, який включає спортивний зал з допоміжними приміщеннями, актовий зал на 210 осіб, їдальню з обіднім залом на 200 осіб; - проведення заходів з енергоефективності в наявному корпусі № 2: утеплення фасаду, утеплення горища, заміна даху. Передбачено протирадіаційне укриття на 800 осіб. Заплановано заходи: утеплення фундаментів пінополістирольними плитами; цоколя – мінераловатними плитами; зовнішніх стін – мінераловатними плитами з подальшим штукатуренням; дах – металопрофіль по дерев'яній кроквяній системі з латами.</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Європейський інвестиційний банк, ПРООН</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Виконавчі органи міської ради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144795,5</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112,9</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33,7</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1.2.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Створення багатофункціонального простору для бізнесу в місті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Багатофункціональний простір для бізнесу створюється шляхом реставрації комунального приміщення колишнього кінотеатру «Батьківщина» на вул. П’ятницька гірка, 2, площею 1711,1 м</w:t>
            </w:r>
            <w:r>
              <w:rPr>
                <w:rFonts w:ascii="Times New Roman" w:hAnsi="Times New Roman"/>
                <w:sz w:val="20"/>
                <w:szCs w:val="20"/>
                <w:vertAlign w:val="superscript"/>
              </w:rPr>
              <w:t>2</w:t>
            </w:r>
            <w:r>
              <w:rPr>
                <w:rFonts w:ascii="Times New Roman" w:hAnsi="Times New Roman"/>
                <w:sz w:val="20"/>
                <w:szCs w:val="20"/>
              </w:rPr>
              <w:t>.  Реставрація зазначеного об’єкта включає:</w:t>
              <w:br/>
              <w:t>утеплення стін, цоколю та даху, заміна вікон та дверей;</w:t>
              <w:br/>
              <w:t>озеленення та облаштування прилеглої території. Опалення електричне.</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Програма розвитку Організації Об’єднаних Націй, уряд Німеччини та GIZ</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Виконавчі органи міської ради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64260,0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74,0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22,1</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Муніципальні будівлі</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209055,5</w:t>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186,9</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55,7</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2. Сфера водопостачання та водовідведення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Модернізація насосного обладнання на об’єктах водоканалу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сучасного насосного обладнання на заміну застарілого, з вичерпаним терміном використання на об'єктах водоканалу</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3350,0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2144,0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Впровадження системи автоматизації управління та диспетчеризації технологічним процесом 1-го, 2-го та 3-го підйомів води</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вузлів оперативного обліку води та електроенергії, встановлення та налагодження системи контролю зі спеціалізованим програмним забезпеченням для віддалених об’єктів із безпровідним GPRS-зв’язком, для інформаційної підтримки об’єктів системи розподілення постачання води, і сенсорною системою, що збирає інформацію про насосні об’єкти на місцях та відсилає її до пункту центрального управління через GPRS-зв’язок</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5430,0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211,2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2.3.</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трансформаторної підстанції ТП № 345 (КНС № 2) в м.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Модернізація технологічного обладнання підстанції, які відпрацювали нормативний термін (ТП введена в експлуатацію у 1982 році)</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11125,6</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45,0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28,8</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2.4.</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РУ-10 кВ і РУ-0,4 кВ на КНС-4</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Заміна РУ-10 кВ і РУ-0,4 кВ протяжністю 2,5 км</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6360,0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19,2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не починалося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2.5.</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КНС для перекачування промивних вод Дубнівського водозабору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КНС для перекачування промивних вод Дубнівського водозабору</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місцевий бюджет, 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18041,8</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16,0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проводиться ІІI етап будівництва</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2.6.</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біогазової установки для компенсації власного споживання електричної енергії</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біогазової установки для компенсації власного споживання електричної енергії з комплексом для виробництва  з осаду стічних вод добрива органічного «LWC» на очисних спорудах КП «Луцькводоканал»</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кошти Європейського інвестиційного банку, 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2331</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2028</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2.7.</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очисних споруд каналізації міста Луцька</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Комплексна модернізація технології видалення відходів зі стічних вод,  модернізація системи мулового господарства із впровадженням технології перероблення мулу, реконструкція бетонних об’єктів, споруд та трубопроводів ОСК тощо</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кошти Європейського інвестиційного банку</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3800,0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2432,0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522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Сфера водопостачання та водовідведення</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40957,4</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7580,0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7182,2</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3. Третинні будівлі</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3.1.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Популяризація енергоефективності і її використання ВДЕ серед представників бізнесу, комерції, вищих навчальних закладів тощо</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Популяризація енергоефективності та використання ВДЕ серед представників бізнесу, комерції, вищих навчальних закладів тощо: проведення інформаційних заходів, підготовка та публікація інформаційних матеріалів</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інші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Департамент економічної політики, департамент житлово-комунального господарства</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26752,9</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1200,0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8740,4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Третинні будівлі</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26752,9</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1200,0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8740,4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4. Житлові будівлі</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4.1.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Термомодернізація (пакет Б) та виконання окремих енергоефективних заходів (Пакет А) у житлових багатоквартирних будинках ОСББ за державною програмою «Енергодім», встановлення СЕС та теплових насосів за державною програмою «Гріндім»; надання фінансової підтримки та відшкодування частини суми кредитів для ОСББ з бюджету громади Луцької МТГ</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Термомодернізація (пакет Б) та виконання окремих енергоефективних заходів (Пакет А) у житлових багатоквартирних будинках ОСББ за державною програмою «Енергодім»,  встановлення СЕС та теплових насосів за державною програмою «Гріндім»; надання фінансової підтримки та відшкодування частини суми кредитів для ОСББ з бюджету громади Луцької МТГ</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власні кошти мешканців будинків, державні кошти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житлово-комунального господарства, ОСББ, Фонд енергоефективності</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3305000,0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240000,0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360,0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71750,4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Житлові будівлі</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3305000,0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240000,0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360,0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71750,4</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5. Транспорт</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Заміна авто та спецтранспорту КП «Луцькводоканал»</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Оновлення автомобільного парку підприємства, чий нормативний термін експлуатації яких перевищений</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власні кошти КП «Луцькводоканал»</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214,4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Оновлення тролейбусного парку м. Луцька</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передбачає придбання 30 одиниць нових сучасних низькопідлогових тролейбусів, з яких 24 – без автономного ходу; 6 – з повноцінним автономним ходом.</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Бюджет громади, ЄІБ</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економічної політики, КП «Луцьке підприємство електротранспорту»</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329992,0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1250,0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800,0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5.3.</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Оновлення інфраструктури електротранспорту міста Луцька Волинської області</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Оптимізація контактної мережі шляхом будівництва частини тролейбусної лінії, яка з’єднає мікрорайон підшипникового заводу з вул. Львівською, модернізація поворотних стрілок, встановлення додаткового обладнання</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Бюджет громади, ЄІБ</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економічної політики, КП «Луцьке підприємство електротранспорту»</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6370,1</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97,1</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62,2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5.4.</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заїзних кишень для зупинки громадського пасажирського транспорту на маршрутах загального користування</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заїзних кишень для зупинки громадського пасажирського транспорту на маршрутах загального користування</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житлово-комунального господарства</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262,0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70,2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5.5.</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Створення та розвиток велосипедної інфраструктури в м.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Створення та розвиток велосипедної інфраструктури в м. Луцьку</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інші кошти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житлово-комунального господарства</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170000,0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4892,3</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1311,1</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транспорт</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561362,1</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7301,4</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2457,9</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6. Сфера теплопостачання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Технічне переоснащення котельні зі встановлення твердопаливних котлів</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твердопаливних котлів</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 міська рада, ДКП Луцьктепло, ENERTEX SARL</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20538,00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4148,68</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модернізації системи централізованого теплопостачання (друга фаза) у м. Луцьку в рамках програми RLF</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Проєктом передбачена заміна 22,6 км зношених теплових мереж, будівництво твердопаливної котельні, встановлення теплових насосів, влаштування системи моніторингу та дистанційного управління SCADA. На цей час триває відбір фінансового та технічного консультантів.</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 міська рада, ДКП Луцьктепло, ЄБРР</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681694,0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14734,2</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37344,03</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10592,80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6.3.</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Конденсаційна рекуперація тепла з димових газів–Луцьк 5 МВт</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конденсаційного теплообмінника з теплою потужністю приблизно 0,74 МВт. на твердопаливному котлі (потужність котла 5 МВт), який має бути адаптованим для використання тепла димових газів з урахуванням потоку теплоносія у «зворотному» трубопроводі мережі теплопостачання; запровадження конкретних заходів для підвищення енергоефективності в житлових та громадських будівлях, які підєднано до мережевого централізованого теплопостачання</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 міська рада, ДКП Луцьктепло, НЕФКО</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21710,0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5057,0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1097,00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6.4.</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реконструкції системи централізованого теплопостачання у м.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Основні заходи проєкту: 1. Встановлення котла на альтернативному паливі. 2. Ліквідація неефективних підвальних та прибудинкових котелень з їх подальшим перепідключенням. 3. Заміна застарілих котлів. 4. Встановлення близько 200 індивідуальних теплових пунктів у житлових будівлях завокзального району міста. 5. Заміна пальників наявних котлів. 6.  Встановлення нових насосних агрегатів з частотним регулюванням. 7. Переобладнання центральних теплових пунктів із заміною теплообмінників. 8. Заміна квартальних мереж на попередньо ізольовані. 9. Встановлення системи автоматичного збору даних та диспетчерського управління (SCADA).</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Європейський банк реконструкції та розвитку, Фонд Е5Р</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712088,0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2997,0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30218,00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Місцеве виробництво тепла/холоду</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1416492,0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22788,2</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57882,0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46056,5</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7. Генерація, постачання та розподіл електроенергії</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7.1.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комунальних СЕС для комерційного виробництва електроенергії</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комунальної СЕС для комерційного виробництва електроенергії</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Місцевий бюджет, інші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Комунальні підприємства Луцької міської ради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25500,0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900,0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576,0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не починалося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7.2.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Побудова комерційних приватних СЕС та ВЕС</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Побудова комерційних приватних СЕС (сонячних електростанцій) та ВЕС (вітрових електростанцій)</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Приватні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Приватні інвестори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170000,0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6000,0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3840,0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2028</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не починалося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генерація, постачання та розподіл електроенергії</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195500,0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6900,0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4416,0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8. Поводження з твердими побутовими відходами</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8.1.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Удосконалення системи поводження з ТПВ</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Удосконалення системи поводження з ТПВ та впровадження роздільного збору побутових відходів лінії (співфінансування з міського бюджету — 50%, інші джерела 50% — 1 млн грн)</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власні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ЛСКАП «Луцькспецкомунтранс»</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1000,0</w:t>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222</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2025</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2030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Загалом Поводження з твердими побутовими відходами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222,0</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Всього:</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5729517,0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304609,4</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66342,0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140881,0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bl>
    <w:p>
      <w:pPr>
        <w:sectPr>
          <w:headerReference w:type="even" r:id="rId41"/>
          <w:headerReference w:type="default" r:id="rId42"/>
          <w:headerReference w:type="first" r:id="rId43"/>
          <w:footerReference w:type="even" r:id="rId44"/>
          <w:footerReference w:type="default" r:id="rId45"/>
          <w:footerReference w:type="first" r:id="rId46"/>
          <w:type w:val="nextPage"/>
          <w:pgSz w:orient="landscape" w:w="16838" w:h="11906"/>
          <w:pgMar w:left="567" w:right="283" w:gutter="0" w:header="0" w:top="567" w:footer="0" w:bottom="1701"/>
          <w:pgNumType w:fmt="decimal"/>
          <w:formProt w:val="false"/>
          <w:textDirection w:val="lrTb"/>
          <w:docGrid w:type="default" w:linePitch="600" w:charSpace="151552"/>
        </w:sectPr>
      </w:pPr>
    </w:p>
    <w:p>
      <w:pPr>
        <w:pStyle w:val="111"/>
        <w:spacing w:before="0" w:after="0"/>
        <w:ind w:firstLine="567"/>
        <w:rPr/>
      </w:pPr>
      <w:bookmarkStart w:id="51" w:name="__RefHeading___Toc27558_429042107"/>
      <w:bookmarkStart w:id="52" w:name="_Toc188020975"/>
      <w:bookmarkStart w:id="53" w:name="n403"/>
      <w:bookmarkEnd w:id="51"/>
      <w:bookmarkEnd w:id="53"/>
      <w:r>
        <w:rPr>
          <w:rFonts w:ascii="Times New Roman" w:hAnsi="Times New Roman"/>
          <w:b/>
          <w:bCs/>
          <w:color w:val="000000"/>
          <w:sz w:val="24"/>
          <w:szCs w:val="24"/>
        </w:rPr>
        <w:t>Розділ 5. Організація виконання та фінансування муніципального енергетичного плану</w:t>
      </w:r>
      <w:bookmarkEnd w:id="52"/>
    </w:p>
    <w:p>
      <w:pPr>
        <w:pStyle w:val="111"/>
        <w:numPr>
          <w:ilvl w:val="0"/>
          <w:numId w:val="4"/>
        </w:numPr>
        <w:spacing w:before="0" w:after="0"/>
        <w:ind w:firstLine="567" w:start="0"/>
        <w:rPr/>
      </w:pPr>
      <w:bookmarkStart w:id="54" w:name="__RefHeading___Toc27560_429042107"/>
      <w:bookmarkStart w:id="55" w:name="_Toc188020976"/>
      <w:bookmarkEnd w:id="54"/>
      <w:r>
        <w:rPr>
          <w:rFonts w:ascii="Times New Roman" w:hAnsi="Times New Roman"/>
          <w:b/>
          <w:bCs/>
          <w:color w:val="000000"/>
          <w:sz w:val="24"/>
          <w:szCs w:val="24"/>
        </w:rPr>
        <w:t>Оцінка фінансових потреб на виконання МЕП</w:t>
      </w:r>
      <w:bookmarkEnd w:id="55"/>
    </w:p>
    <w:p>
      <w:pPr>
        <w:pStyle w:val="Normal"/>
        <w:spacing w:before="0" w:after="0"/>
        <w:ind w:firstLine="567"/>
        <w:jc w:val="both"/>
        <w:rPr/>
      </w:pPr>
      <w:r>
        <w:rPr>
          <w:rFonts w:eastAsia="NSimSun" w:cs="Times New Roman" w:ascii="Times New Roman" w:hAnsi="Times New Roman"/>
          <w:kern w:val="2"/>
          <w:sz w:val="24"/>
          <w:szCs w:val="24"/>
          <w:lang w:eastAsia="zh-CN" w:bidi="hi-IN"/>
        </w:rPr>
        <w:t>Плановий обсяг коштів, які необхідно скерувати на реалізацію проєктів у обраних секторах МЕП становить 5 729,5 млн грн (таблиця 5.1.).</w:t>
      </w:r>
    </w:p>
    <w:p>
      <w:pPr>
        <w:pStyle w:val="Normal"/>
        <w:spacing w:before="0" w:after="0"/>
        <w:contextualSpacing/>
        <w:jc w:val="center"/>
        <w:rPr/>
      </w:pPr>
      <w:r>
        <w:rPr>
          <w:rFonts w:eastAsia="NSimSun" w:cs="Times New Roman" w:ascii="Times New Roman" w:hAnsi="Times New Roman"/>
          <w:kern w:val="2"/>
          <w:sz w:val="24"/>
          <w:szCs w:val="24"/>
          <w:lang w:eastAsia="zh-CN" w:bidi="hi-IN"/>
        </w:rPr>
        <w:t xml:space="preserve">Таблиця 5.1. Обсяг необхідних інвестицій для впровадження </w:t>
        <w:br/>
      </w:r>
      <w:r>
        <w:rPr>
          <w:rFonts w:eastAsia="NSimSun" w:cs="Times New Roman" w:ascii="Times New Roman" w:hAnsi="Times New Roman"/>
          <w:kern w:val="2"/>
          <w:sz w:val="24"/>
          <w:szCs w:val="24"/>
          <w:shd w:fill="FFFFFF" w:val="clear"/>
          <w:lang w:eastAsia="zh-CN" w:bidi="hi-IN"/>
        </w:rPr>
        <w:t>заходів для покращення енергоефективності та розвитку ВДЕ в</w:t>
      </w:r>
      <w:r>
        <w:rPr>
          <w:rFonts w:eastAsia="NSimSun" w:cs="Times New Roman" w:ascii="Times New Roman" w:hAnsi="Times New Roman"/>
          <w:kern w:val="2"/>
          <w:sz w:val="24"/>
          <w:szCs w:val="24"/>
          <w:lang w:eastAsia="zh-CN" w:bidi="hi-IN"/>
        </w:rPr>
        <w:t xml:space="preserve"> Луцькій МТГ </w:t>
      </w:r>
    </w:p>
    <w:tbl>
      <w:tblPr>
        <w:tblW w:w="9492"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746"/>
        <w:gridCol w:w="4745"/>
      </w:tblGrid>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Сектори</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 xml:space="preserve">Загальна вартість інвестицій, </w:t>
              <w:br/>
              <w:t>млн грн</w:t>
            </w:r>
          </w:p>
        </w:tc>
      </w:tr>
      <w:tr>
        <w:trPr/>
        <w:tc>
          <w:tcPr>
            <w:tcW w:w="9491"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pPr>
            <w:r>
              <w:rPr>
                <w:rFonts w:eastAsia="Times New Roman" w:cs="Times New Roman" w:ascii="Times New Roman" w:hAnsi="Times New Roman"/>
                <w:color w:val="000000"/>
                <w:sz w:val="20"/>
                <w:szCs w:val="20"/>
                <w:lang w:eastAsia="uk-UA"/>
              </w:rPr>
              <w:t>Обов'язкові сектори</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Громадські будівлі</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209,1</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Житлові будівлі</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3305,0</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Сфера теплопостачання</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1416,5</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Сфера водопостачання і водовідведення</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41,0</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Сфера управління побутовими відходами</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1,0</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Третинні будівлі</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0,2</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Громадський транспорт</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330,1</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Всього (обов'язкові сектори)</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5302,7</w:t>
            </w:r>
          </w:p>
        </w:tc>
      </w:tr>
      <w:tr>
        <w:trPr/>
        <w:tc>
          <w:tcPr>
            <w:tcW w:w="9491"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pPr>
            <w:r>
              <w:rPr>
                <w:rFonts w:eastAsia="Times New Roman" w:cs="Times New Roman" w:ascii="Times New Roman" w:hAnsi="Times New Roman"/>
                <w:color w:val="000000"/>
                <w:sz w:val="20"/>
                <w:szCs w:val="20"/>
                <w:lang w:eastAsia="uk-UA"/>
              </w:rPr>
              <w:t>Інші сектори</w:t>
            </w:r>
          </w:p>
        </w:tc>
      </w:tr>
      <w:tr>
        <w:trPr>
          <w:trHeight w:val="470" w:hRule="atLeast"/>
        </w:trPr>
        <w:tc>
          <w:tcPr>
            <w:tcW w:w="474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lang w:eastAsia="uk-UA"/>
              </w:rPr>
              <w:t>Муніципальний транспорт крім громадських перевезень</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231,3</w:t>
            </w:r>
          </w:p>
        </w:tc>
      </w:tr>
      <w:tr>
        <w:trPr/>
        <w:tc>
          <w:tcPr>
            <w:tcW w:w="4746" w:type="dxa"/>
            <w:tcBorders>
              <w:start w:val="single" w:sz="4" w:space="0" w:color="000000"/>
              <w:bottom w:val="single" w:sz="4" w:space="0" w:color="000000"/>
              <w:end w:val="single" w:sz="4" w:space="0" w:color="000000"/>
            </w:tcBorders>
          </w:tcPr>
          <w:p>
            <w:pPr>
              <w:pStyle w:val="Normal"/>
              <w:widowControl w:val="false"/>
              <w:spacing w:before="0" w:after="0"/>
              <w:rPr/>
            </w:pPr>
            <w:r>
              <w:rPr>
                <w:rFonts w:ascii="Times New Roman" w:hAnsi="Times New Roman"/>
                <w:sz w:val="20"/>
                <w:szCs w:val="20"/>
              </w:rPr>
              <w:t>Місцеве виробництво електроенергії</w:t>
            </w:r>
          </w:p>
        </w:tc>
        <w:tc>
          <w:tcPr>
            <w:tcW w:w="4745" w:type="dxa"/>
            <w:tcBorders>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eastAsia="NSimSun" w:cs="Times New Roman" w:ascii="Times New Roman" w:hAnsi="Times New Roman"/>
                <w:color w:val="000000"/>
                <w:kern w:val="2"/>
                <w:sz w:val="20"/>
                <w:szCs w:val="20"/>
                <w:lang w:eastAsia="zh-CN" w:bidi="hi-IN"/>
              </w:rPr>
              <w:t>195,5</w:t>
            </w:r>
          </w:p>
        </w:tc>
      </w:tr>
      <w:tr>
        <w:trPr/>
        <w:tc>
          <w:tcPr>
            <w:tcW w:w="474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rPr/>
            </w:pPr>
            <w:r>
              <w:rPr>
                <w:rFonts w:eastAsia="Times New Roman" w:cs="Times New Roman" w:ascii="Times New Roman" w:hAnsi="Times New Roman"/>
                <w:color w:val="000000"/>
                <w:sz w:val="20"/>
                <w:szCs w:val="20"/>
                <w:lang w:eastAsia="uk-UA"/>
              </w:rPr>
              <w:t>Всього (інші сектори)</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426,8</w:t>
            </w:r>
          </w:p>
        </w:tc>
      </w:tr>
      <w:tr>
        <w:trPr/>
        <w:tc>
          <w:tcPr>
            <w:tcW w:w="4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rPr/>
            </w:pPr>
            <w:r>
              <w:rPr>
                <w:rFonts w:eastAsia="NSimSun" w:cs="Times New Roman" w:ascii="Times New Roman" w:hAnsi="Times New Roman"/>
                <w:kern w:val="2"/>
                <w:sz w:val="20"/>
                <w:szCs w:val="20"/>
                <w:lang w:eastAsia="zh-CN" w:bidi="hi-IN"/>
              </w:rPr>
              <w:t>Всього</w:t>
            </w:r>
          </w:p>
        </w:tc>
        <w:tc>
          <w:tcPr>
            <w:tcW w:w="4745"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5729,5</w:t>
            </w:r>
          </w:p>
        </w:tc>
      </w:tr>
    </w:tbl>
    <w:p>
      <w:pPr>
        <w:pStyle w:val="Normal"/>
        <w:widowControl w:val="false"/>
        <w:spacing w:lineRule="auto" w:line="240" w:before="0" w:after="0"/>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p>
      <w:pPr>
        <w:pStyle w:val="ListParagraph"/>
        <w:ind w:start="0"/>
        <w:jc w:val="center"/>
        <w:rPr/>
      </w:pPr>
      <w:r>
        <w:rPr>
          <w:rFonts w:cs="Times New Roman" w:ascii="Times New Roman" w:hAnsi="Times New Roman"/>
          <w:color w:val="000000"/>
          <w:sz w:val="24"/>
          <w:szCs w:val="24"/>
          <w:shd w:fill="FFFFFF" w:val="clear"/>
        </w:rPr>
        <w:t>Таблиця 5.2. Оцінка потреби в фінансуванні заходів в розрізі джерел фінансування.</w:t>
      </w:r>
    </w:p>
    <w:tbl>
      <w:tblPr>
        <w:tblW w:w="9494" w:type="dxa"/>
        <w:jc w:val="center"/>
        <w:tblInd w:w="0" w:type="dxa"/>
        <w:tblLayout w:type="fixed"/>
        <w:tblCellMar>
          <w:top w:w="55" w:type="dxa"/>
          <w:start w:w="108" w:type="dxa"/>
          <w:bottom w:w="55" w:type="dxa"/>
          <w:end w:w="108" w:type="dxa"/>
        </w:tblCellMar>
        <w:tblLook w:firstRow="1" w:noVBand="1" w:lastRow="0" w:firstColumn="1" w:lastColumn="0" w:noHBand="0" w:val="04a0"/>
      </w:tblPr>
      <w:tblGrid>
        <w:gridCol w:w="4071"/>
        <w:gridCol w:w="4089"/>
        <w:gridCol w:w="1334"/>
      </w:tblGrid>
      <w:tr>
        <w:trPr>
          <w:trHeight w:val="555" w:hRule="atLeast"/>
        </w:trPr>
        <w:tc>
          <w:tcPr>
            <w:tcW w:w="4071"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Джерела фінансування</w:t>
            </w:r>
          </w:p>
        </w:tc>
        <w:tc>
          <w:tcPr>
            <w:tcW w:w="4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 xml:space="preserve">Загальна вартість інвестицій, </w:t>
              <w:br/>
              <w:t>млн грн</w:t>
            </w:r>
          </w:p>
        </w:tc>
        <w:tc>
          <w:tcPr>
            <w:tcW w:w="133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w:t>
            </w:r>
          </w:p>
        </w:tc>
      </w:tr>
      <w:tr>
        <w:trPr/>
        <w:tc>
          <w:tcPr>
            <w:tcW w:w="4071" w:type="dxa"/>
            <w:tcBorders>
              <w:start w:val="single" w:sz="4" w:space="0" w:color="000000"/>
              <w:bottom w:val="single" w:sz="4" w:space="0" w:color="000000"/>
            </w:tcBorders>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Бюджет громади</w:t>
            </w:r>
          </w:p>
        </w:tc>
        <w:tc>
          <w:tcPr>
            <w:tcW w:w="4089" w:type="dxa"/>
            <w:tcBorders>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1533,3</w:t>
            </w:r>
          </w:p>
        </w:tc>
        <w:tc>
          <w:tcPr>
            <w:tcW w:w="13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27</w:t>
            </w:r>
          </w:p>
        </w:tc>
      </w:tr>
      <w:tr>
        <w:trPr/>
        <w:tc>
          <w:tcPr>
            <w:tcW w:w="4071" w:type="dxa"/>
            <w:tcBorders>
              <w:start w:val="single" w:sz="4" w:space="0" w:color="000000"/>
              <w:bottom w:val="single" w:sz="4" w:space="0" w:color="000000"/>
            </w:tcBorders>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Державний бюджет</w:t>
            </w:r>
          </w:p>
        </w:tc>
        <w:tc>
          <w:tcPr>
            <w:tcW w:w="4089" w:type="dxa"/>
            <w:tcBorders>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2313,5</w:t>
            </w:r>
          </w:p>
        </w:tc>
        <w:tc>
          <w:tcPr>
            <w:tcW w:w="13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40</w:t>
            </w:r>
          </w:p>
        </w:tc>
      </w:tr>
      <w:tr>
        <w:trPr/>
        <w:tc>
          <w:tcPr>
            <w:tcW w:w="4071" w:type="dxa"/>
            <w:tcBorders>
              <w:start w:val="single" w:sz="4" w:space="0" w:color="000000"/>
              <w:bottom w:val="single" w:sz="4" w:space="0" w:color="000000"/>
            </w:tcBorders>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Інші (приватні кошти, грантові кошти, донорська допомога)</w:t>
            </w:r>
          </w:p>
        </w:tc>
        <w:tc>
          <w:tcPr>
            <w:tcW w:w="4089" w:type="dxa"/>
            <w:tcBorders>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1882,7</w:t>
            </w:r>
          </w:p>
        </w:tc>
        <w:tc>
          <w:tcPr>
            <w:tcW w:w="13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33</w:t>
            </w:r>
          </w:p>
        </w:tc>
      </w:tr>
      <w:tr>
        <w:trPr/>
        <w:tc>
          <w:tcPr>
            <w:tcW w:w="4071" w:type="dxa"/>
            <w:tcBorders>
              <w:start w:val="single" w:sz="4" w:space="0" w:color="000000"/>
              <w:bottom w:val="single" w:sz="4" w:space="0" w:color="000000"/>
            </w:tcBorders>
            <w:vAlign w:val="center"/>
          </w:tcPr>
          <w:p>
            <w:pPr>
              <w:pStyle w:val="Normal"/>
              <w:widowControl w:val="false"/>
              <w:spacing w:lineRule="auto" w:line="240" w:before="0" w:after="0"/>
              <w:contextualSpacing/>
              <w:rPr/>
            </w:pPr>
            <w:r>
              <w:rPr>
                <w:rFonts w:eastAsia="NSimSun" w:cs="Times New Roman" w:ascii="Times New Roman" w:hAnsi="Times New Roman"/>
                <w:color w:val="000000"/>
                <w:kern w:val="2"/>
                <w:sz w:val="20"/>
                <w:szCs w:val="20"/>
                <w:lang w:eastAsia="zh-CN" w:bidi="hi-IN"/>
              </w:rPr>
              <w:t>Всього</w:t>
            </w:r>
          </w:p>
        </w:tc>
        <w:tc>
          <w:tcPr>
            <w:tcW w:w="4089" w:type="dxa"/>
            <w:tcBorders>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5729,5</w:t>
            </w:r>
          </w:p>
        </w:tc>
        <w:tc>
          <w:tcPr>
            <w:tcW w:w="1334"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eastAsia="NSimSun" w:cs="Times New Roman" w:ascii="Times New Roman" w:hAnsi="Times New Roman"/>
                <w:color w:val="000000"/>
                <w:kern w:val="2"/>
                <w:sz w:val="20"/>
                <w:szCs w:val="20"/>
                <w:lang w:eastAsia="zh-CN" w:bidi="hi-IN"/>
              </w:rPr>
              <w:t>100</w:t>
            </w:r>
          </w:p>
        </w:tc>
      </w:tr>
    </w:tbl>
    <w:p>
      <w:pPr>
        <w:pStyle w:val="111"/>
        <w:numPr>
          <w:ilvl w:val="0"/>
          <w:numId w:val="4"/>
        </w:numPr>
        <w:ind w:firstLine="567" w:start="0"/>
        <w:jc w:val="both"/>
        <w:rPr/>
      </w:pPr>
      <w:bookmarkStart w:id="56" w:name="__RefHeading___Toc27562_429042107"/>
      <w:bookmarkStart w:id="57" w:name="_Toc188020977"/>
      <w:bookmarkEnd w:id="56"/>
      <w:r>
        <w:rPr>
          <w:rFonts w:cs="Times New Roman" w:ascii="Times New Roman" w:hAnsi="Times New Roman"/>
          <w:b/>
          <w:bCs/>
          <w:color w:val="auto"/>
          <w:sz w:val="24"/>
          <w:szCs w:val="24"/>
        </w:rPr>
        <w:t>Потенційні джерела фінансування проєктів МЕП</w:t>
      </w:r>
      <w:bookmarkEnd w:id="57"/>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Для успішної реалізації МЕП необхідною умовою є забезпечення в достатньому обсязі фінансових інвестицій, направлених на реалізацію енергоефективних заходів та проєктів з адаптації до змін клімату.</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 xml:space="preserve">У секторі «Муніципальні будівлі, обладнання та споруди», як основне джерело фінансування, розглядаються кредитні та грантові кошти із забезпеченням співфінансування (10 %-30 %) з боку бюджету міської територіальної громади. </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Для житлових будівель значну частину фінансування забезпечують мешканці та державний бюджет в рамках програми «Енергодім», фонд Держенергоефективності України (30 %-60 % співфінансування).</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 xml:space="preserve">Крім того, є можливість залучення банківських кредитів для впровадження енергоефективних заходів, які надаються українськими банками. </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Визначальним джерелом фінансування для інших секторів, окрім кредитних та грантових коштів, є власні кошти підприємств-постачальників енергетичних ресурсів, інших установ і організацій.</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Таким чином, для реалізації МЕП у Луцькій МТГ розглядаються наступні джерела фінансування:</w:t>
      </w:r>
    </w:p>
    <w:p>
      <w:pPr>
        <w:pStyle w:val="Normal"/>
        <w:spacing w:before="240" w:after="0"/>
        <w:ind w:firstLine="567"/>
        <w:contextualSpacing/>
        <w:jc w:val="both"/>
        <w:rPr/>
      </w:pPr>
      <w:r>
        <w:rPr>
          <w:rFonts w:eastAsia="TimesNewRomanPSMT" w:cs="Times New Roman" w:ascii="Times New Roman" w:hAnsi="Times New Roman"/>
          <w:iCs/>
          <w:kern w:val="2"/>
          <w:sz w:val="24"/>
          <w:szCs w:val="24"/>
          <w:u w:val="single"/>
          <w:lang w:eastAsia="zh-CN" w:bidi="hi-IN"/>
        </w:rPr>
        <w:t>Цільові програми (бюджет міської територіальної громади)</w:t>
      </w:r>
    </w:p>
    <w:p>
      <w:pPr>
        <w:pStyle w:val="Normal"/>
        <w:spacing w:before="0" w:after="0"/>
        <w:ind w:firstLine="567"/>
        <w:contextualSpacing/>
        <w:jc w:val="both"/>
        <w:rPr/>
      </w:pPr>
      <w:r>
        <w:rPr>
          <w:rFonts w:eastAsia="TimesNewRomanPSMT" w:cs="Times New Roman" w:ascii="Times New Roman" w:hAnsi="Times New Roman"/>
          <w:iCs/>
          <w:kern w:val="2"/>
          <w:sz w:val="24"/>
          <w:szCs w:val="24"/>
          <w:lang w:eastAsia="zh-CN" w:bidi="hi-IN"/>
        </w:rPr>
        <w:t>Цільові бюджетні програми міста або громади є основним фінансовим джерелом при плануванні й реалізації заходів малої та середньої вартості. Такі заходи можуть повністю або частково фінансуватися з бюджету міської територіальної громади.</w:t>
      </w:r>
    </w:p>
    <w:p>
      <w:pPr>
        <w:pStyle w:val="Normal"/>
        <w:spacing w:before="0" w:after="0"/>
        <w:ind w:firstLine="567"/>
        <w:contextualSpacing/>
        <w:jc w:val="both"/>
        <w:rPr/>
      </w:pPr>
      <w:r>
        <w:rPr>
          <w:rFonts w:eastAsia="TimesNewRomanPSMT" w:cs="Times New Roman" w:ascii="Times New Roman" w:hAnsi="Times New Roman"/>
          <w:iCs/>
          <w:kern w:val="2"/>
          <w:sz w:val="24"/>
          <w:szCs w:val="24"/>
          <w:lang w:eastAsia="zh-CN" w:bidi="hi-IN"/>
        </w:rPr>
        <w:t>Разом з тим, бюджет міської територіальної громади може бути учасником, що надає співфінансування при залученні кредитування або грантових коштів.</w:t>
      </w:r>
    </w:p>
    <w:p>
      <w:pPr>
        <w:pStyle w:val="Normal"/>
        <w:spacing w:before="0" w:after="0"/>
        <w:ind w:firstLine="567"/>
        <w:jc w:val="both"/>
        <w:rPr/>
      </w:pPr>
      <w:r>
        <w:rPr>
          <w:rFonts w:eastAsia="NSimSun" w:cs="Times New Roman" w:ascii="Times New Roman" w:hAnsi="Times New Roman"/>
          <w:kern w:val="2"/>
          <w:sz w:val="24"/>
          <w:szCs w:val="24"/>
          <w:lang w:eastAsia="zh-CN" w:bidi="hi-IN"/>
        </w:rPr>
        <w:t>Однією з дієвих програм із залученням мешканців до планування і реалізації енергоефективних заходів є програма «Відшкодування частини суми кредитів ОСББ Луцької міської територіальної громади, залучених на впровадження в будинках енергоефективних заходів», яка дозволяє розв’язати нагальні питання житлового фонду за ініціативою громадян.</w:t>
      </w:r>
    </w:p>
    <w:p>
      <w:pPr>
        <w:pStyle w:val="Normal"/>
        <w:spacing w:before="240" w:after="0"/>
        <w:ind w:firstLine="567"/>
        <w:contextualSpacing/>
        <w:jc w:val="both"/>
        <w:rPr/>
      </w:pPr>
      <w:r>
        <w:rPr>
          <w:rFonts w:eastAsia="TimesNewRomanPSMT" w:cs="Times New Roman" w:ascii="Times New Roman" w:hAnsi="Times New Roman"/>
          <w:iCs/>
          <w:kern w:val="2"/>
          <w:sz w:val="24"/>
          <w:szCs w:val="24"/>
          <w:u w:val="single"/>
          <w:lang w:eastAsia="zh-CN" w:bidi="hi-IN"/>
        </w:rPr>
        <w:t>Державні цільові програми (державний бюджет)</w:t>
      </w:r>
    </w:p>
    <w:p>
      <w:pPr>
        <w:pStyle w:val="Normal"/>
        <w:spacing w:before="0" w:after="0"/>
        <w:ind w:firstLine="567"/>
        <w:contextualSpacing/>
        <w:jc w:val="both"/>
        <w:rPr/>
      </w:pPr>
      <w:r>
        <w:rPr>
          <w:rFonts w:eastAsia="TimesNewRomanPSMT" w:cs="Times New Roman" w:ascii="Times New Roman" w:hAnsi="Times New Roman"/>
          <w:iCs/>
          <w:kern w:val="2"/>
          <w:sz w:val="24"/>
          <w:szCs w:val="24"/>
          <w:lang w:eastAsia="zh-CN" w:bidi="hi-IN"/>
        </w:rPr>
        <w:t xml:space="preserve">Реалізація державних цільових програм координується профільними міністерствами, або обласними профільними управліннями. Енергоефективні заходи передбачені у кількох чинних державних цільових програмах. Окремо варто виділити Програму Фонду </w:t>
      </w:r>
      <w:r>
        <w:rPr>
          <w:rFonts w:eastAsia="TimesNewRomanPSMT" w:cs="Times New Roman" w:ascii="Times New Roman" w:hAnsi="Times New Roman"/>
          <w:iCs/>
          <w:color w:val="000000"/>
          <w:kern w:val="2"/>
          <w:sz w:val="24"/>
          <w:szCs w:val="24"/>
          <w:lang w:eastAsia="zh-CN" w:bidi="hi-IN"/>
        </w:rPr>
        <w:t xml:space="preserve">Енергоефективності </w:t>
      </w:r>
      <w:r>
        <w:rPr>
          <w:rFonts w:ascii="Times New Roman" w:hAnsi="Times New Roman"/>
          <w:color w:val="000000"/>
          <w:sz w:val="24"/>
          <w:szCs w:val="24"/>
          <w:lang w:eastAsia="zh-CN" w:bidi="hi-IN"/>
        </w:rPr>
        <w:t>«Енергодім», «ГрінДІМ»</w:t>
      </w:r>
      <w:r>
        <w:rPr>
          <w:rFonts w:eastAsia="TimesNewRomanPSMT" w:cs="Times New Roman" w:ascii="Times New Roman" w:hAnsi="Times New Roman"/>
          <w:iCs/>
          <w:kern w:val="2"/>
          <w:sz w:val="24"/>
          <w:szCs w:val="24"/>
          <w:lang w:eastAsia="zh-CN" w:bidi="hi-IN"/>
        </w:rPr>
        <w:t xml:space="preserve"> та фінансування з Державного Фонду регіонального розвитку. </w:t>
      </w:r>
    </w:p>
    <w:p>
      <w:pPr>
        <w:pStyle w:val="Normal"/>
        <w:spacing w:before="240" w:after="0"/>
        <w:ind w:firstLine="567"/>
        <w:contextualSpacing/>
        <w:jc w:val="both"/>
        <w:rPr/>
      </w:pPr>
      <w:r>
        <w:rPr>
          <w:rFonts w:eastAsia="TimesNewRomanPSMT" w:cs="Times New Roman" w:ascii="Times New Roman" w:hAnsi="Times New Roman"/>
          <w:iCs/>
          <w:kern w:val="2"/>
          <w:sz w:val="24"/>
          <w:szCs w:val="24"/>
          <w:u w:val="single"/>
          <w:lang w:eastAsia="zh-CN" w:bidi="hi-IN"/>
        </w:rPr>
        <w:t>Муніципальні облігації (запозичення)</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Для фінансування своїх середньострокових інвестиційних проєктів місцева влада може залучати інвестиційні ресурси на внутрішньому, або зовнішніх фінансових ринках шляхом випуску облігацій.</w:t>
      </w:r>
    </w:p>
    <w:p>
      <w:pPr>
        <w:pStyle w:val="Normal"/>
        <w:spacing w:before="240" w:after="0"/>
        <w:ind w:firstLine="567"/>
        <w:contextualSpacing/>
        <w:jc w:val="both"/>
        <w:rPr/>
      </w:pPr>
      <w:r>
        <w:rPr>
          <w:rFonts w:eastAsia="TimesNewRomanPSMT" w:cs="Times New Roman" w:ascii="Times New Roman" w:hAnsi="Times New Roman"/>
          <w:iCs/>
          <w:kern w:val="2"/>
          <w:sz w:val="24"/>
          <w:szCs w:val="24"/>
          <w:u w:val="single"/>
          <w:lang w:eastAsia="zh-CN" w:bidi="hi-IN"/>
        </w:rPr>
        <w:t>Грантові проєкти</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Зазвичай грантові кошти на впровадження інфраструктурних інвестиційних проєктів надаються громадам і підприємствам-учасникам, отримувачам міжнародної технічної допомоги. Оскільки грант є безповоротним цільовим фінансуванням, то виділення грантових коштів від більшості грантодавців має незначні обсяги і спрямовані на невеликі демонстраційні проєкти, та/або на проведення передпроєктної підготовки (енергоаудити, складання проєктно-кошторисної документації, бізнес-планів, консультаційна допомога експертів).</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Через підвищення ефективності роботи системи енергоменеджменту значно зростає ймовірність залучення грантових коштів у короткостроковому й середньостроковому періоді для фінансування м’яких заходів, демонстраційних та пілотних проєктів. Луцька міська рада та її виконавчі органи на постійній основі брати участь у різних програмах грантового фінансування.</w:t>
      </w:r>
    </w:p>
    <w:p>
      <w:pPr>
        <w:pStyle w:val="Normal"/>
        <w:tabs>
          <w:tab w:val="clear" w:pos="708"/>
          <w:tab w:val="left" w:pos="284" w:leader="none"/>
        </w:tabs>
        <w:spacing w:before="240" w:after="0"/>
        <w:ind w:firstLine="567"/>
        <w:contextualSpacing/>
        <w:jc w:val="both"/>
        <w:rPr/>
      </w:pPr>
      <w:r>
        <w:rPr>
          <w:rFonts w:eastAsia="TimesNewRomanPSMT" w:cs="Times New Roman" w:ascii="Times New Roman" w:hAnsi="Times New Roman"/>
          <w:kern w:val="2"/>
          <w:sz w:val="24"/>
          <w:szCs w:val="24"/>
          <w:u w:val="single"/>
          <w:lang w:eastAsia="zh-CN" w:bidi="hi-IN"/>
        </w:rPr>
        <w:t>Залучення коштів міжнародних фінансових інституцій і програм</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У Луцькій МТГ ключовим та гарантованим джерелом фінансування енергоефективних заходів протягом останніх років був державний та місцевий бюджети. Беручи до уваги воєнний стан у державі та труднощі з бюджетними платежами, акцент повинен бути суттєво зміщений на користь залучення грантових ресурсів в межах програм міжнародних фінансових організацій.</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 xml:space="preserve">Кошти бюджету міської територіальної громади повинні скеровуватись здебільшого на співфінансування енергоефективних проєктів. Потенційними партнерами для реалізації енергоефективних проєктів є: Північна екологічна фінансова корпорація (НЕФКО), UNDP (Програма розвитку ООН в Україні), IFC (Міжнародна фінансова корпорація), EBRD (Європейський банк реконструкції та розвитку), E5P </w:t>
      </w:r>
      <w:r>
        <w:rPr>
          <w:rFonts w:cs="Times New Roman" w:ascii="Times New Roman" w:hAnsi="Times New Roman"/>
          <w:color w:val="000000"/>
          <w:sz w:val="24"/>
          <w:szCs w:val="24"/>
          <w:shd w:fill="FFFFFF" w:val="clear"/>
          <w:lang w:eastAsia="zh-CN" w:bidi="hi-IN"/>
        </w:rPr>
        <w:t>–</w:t>
      </w:r>
      <w:r>
        <w:rPr>
          <w:rFonts w:eastAsia="NSimSun" w:cs="Times New Roman" w:ascii="Times New Roman" w:hAnsi="Times New Roman"/>
          <w:kern w:val="2"/>
          <w:sz w:val="24"/>
          <w:szCs w:val="24"/>
          <w:lang w:eastAsia="zh-CN" w:bidi="hi-IN"/>
        </w:rPr>
        <w:t xml:space="preserve"> Eastern Europe Energy Efficiency and Environmental Partnership (Східна Європа «Енергоефективність» та Екологічне партнерство), WB (Світовий банк) та інші.</w:t>
      </w:r>
    </w:p>
    <w:p>
      <w:pPr>
        <w:pStyle w:val="Normal"/>
        <w:spacing w:before="240" w:after="0"/>
        <w:ind w:firstLine="567"/>
        <w:contextualSpacing/>
        <w:jc w:val="both"/>
        <w:rPr/>
      </w:pPr>
      <w:r>
        <w:rPr>
          <w:rFonts w:eastAsia="NSimSun" w:cs="Times New Roman" w:ascii="Times New Roman" w:hAnsi="Times New Roman"/>
          <w:kern w:val="2"/>
          <w:sz w:val="24"/>
          <w:szCs w:val="24"/>
          <w:u w:val="single"/>
          <w:lang w:eastAsia="zh-CN" w:bidi="hi-IN"/>
        </w:rPr>
        <w:t>Власні кошти підприємств та установ</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Власні кошти:</w:t>
      </w:r>
    </w:p>
    <w:p>
      <w:pPr>
        <w:pStyle w:val="Normal"/>
        <w:spacing w:before="0" w:after="0"/>
        <w:ind w:firstLine="567"/>
        <w:contextualSpacing/>
        <w:jc w:val="both"/>
        <w:rPr/>
      </w:pPr>
      <w:r>
        <w:rPr>
          <w:rFonts w:eastAsia="NSimSun" w:cs="Times New Roman" w:ascii="Times New Roman" w:hAnsi="Times New Roman"/>
          <w:kern w:val="2"/>
          <w:sz w:val="24"/>
          <w:szCs w:val="24"/>
          <w:lang w:eastAsia="zh-CN" w:bidi="hi-IN"/>
        </w:rPr>
        <w:t>1) підприємств теплокомуненерго</w:t>
      </w:r>
      <w:r>
        <w:rPr>
          <w:rFonts w:eastAsia="TimesNewRomanPSMT" w:cs="Times New Roman" w:ascii="Times New Roman" w:hAnsi="Times New Roman"/>
          <w:kern w:val="2"/>
          <w:sz w:val="24"/>
          <w:szCs w:val="24"/>
          <w:lang w:eastAsia="zh-CN" w:bidi="hi-IN"/>
        </w:rPr>
        <w:t>, які мають енергомістке виробництво;</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2) установ освіти та культури, які можуть бути направлені для виконання енергоефективних заходів.</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Власний прибуток є найдешевшим і найбільш надійним, доступним джерелом фінансування короткострокових капітальних інвестицій.</w:t>
      </w:r>
    </w:p>
    <w:p>
      <w:pPr>
        <w:pStyle w:val="Normal"/>
        <w:spacing w:before="240" w:after="0"/>
        <w:ind w:firstLine="567"/>
        <w:contextualSpacing/>
        <w:jc w:val="both"/>
        <w:rPr/>
      </w:pPr>
      <w:r>
        <w:rPr>
          <w:rFonts w:eastAsia="TimesNewRomanPSMT" w:cs="Times New Roman" w:ascii="Times New Roman" w:hAnsi="Times New Roman"/>
          <w:kern w:val="2"/>
          <w:sz w:val="24"/>
          <w:szCs w:val="24"/>
          <w:u w:val="single"/>
          <w:lang w:eastAsia="zh-CN" w:bidi="hi-IN"/>
        </w:rPr>
        <w:t>Залучення приватного капіталу на умовах ЕСКО</w:t>
      </w:r>
    </w:p>
    <w:p>
      <w:pPr>
        <w:pStyle w:val="Normal"/>
        <w:spacing w:before="240" w:after="0"/>
        <w:ind w:firstLine="567"/>
        <w:contextualSpacing/>
        <w:jc w:val="both"/>
        <w:rPr/>
      </w:pPr>
      <w:r>
        <w:rPr>
          <w:rFonts w:eastAsia="TimesNewRomanPSMT" w:cs="Times New Roman" w:ascii="Times New Roman" w:hAnsi="Times New Roman"/>
          <w:kern w:val="2"/>
          <w:sz w:val="24"/>
          <w:szCs w:val="24"/>
          <w:lang w:eastAsia="zh-CN" w:bidi="hi-IN"/>
        </w:rPr>
        <w:t xml:space="preserve">Залучення приватного капіталу до фінансування довгострокових інвестиційних проєктів може здійснюватися через енергосервісні компанії, які проводять роботи з термомодернізації будівлі, а далі надають послуги з енергосервісу в будинку або в бюджетному закладі відповідно до довгострокового договору. </w:t>
      </w:r>
    </w:p>
    <w:p>
      <w:pPr>
        <w:pStyle w:val="Normal"/>
        <w:spacing w:before="240" w:after="0"/>
        <w:ind w:firstLine="567"/>
        <w:contextualSpacing/>
        <w:jc w:val="both"/>
        <w:rPr/>
      </w:pPr>
      <w:r>
        <w:rPr>
          <w:rFonts w:eastAsia="TimesNewRomanPSMT" w:cs="Times New Roman" w:ascii="Times New Roman" w:hAnsi="Times New Roman"/>
          <w:iCs/>
          <w:kern w:val="2"/>
          <w:sz w:val="24"/>
          <w:szCs w:val="24"/>
          <w:u w:val="single"/>
          <w:lang w:eastAsia="zh-CN" w:bidi="hi-IN"/>
        </w:rPr>
        <w:t>Цільові внески співвласників багатоквартирних будинків</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Цільові внески сплачуються співвласниками багатоквартирних будинків в обсязі, визначеному загальними зборами ОСББ, і спрямовуються, перш за все, на проведення робіт з удосконалення експлуатації внутрішніх будинкових інженерних систем та капітального ремонту будинків. Через обмеження такого фінансування є можливість поєднувати це джерело з іншими джерелами на умовах співфінансування.</w:t>
      </w:r>
    </w:p>
    <w:p>
      <w:pPr>
        <w:pStyle w:val="Normal"/>
        <w:spacing w:before="240" w:after="0"/>
        <w:ind w:firstLine="567"/>
        <w:contextualSpacing/>
        <w:jc w:val="both"/>
        <w:rPr/>
      </w:pPr>
      <w:r>
        <w:rPr>
          <w:rFonts w:eastAsia="TimesNewRomanPSMT" w:cs="Times New Roman" w:ascii="Times New Roman" w:hAnsi="Times New Roman"/>
          <w:iCs/>
          <w:kern w:val="2"/>
          <w:sz w:val="24"/>
          <w:szCs w:val="24"/>
          <w:u w:val="single"/>
          <w:lang w:eastAsia="zh-CN" w:bidi="hi-IN"/>
        </w:rPr>
        <w:t>Банківські кредити</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Найпоширенішою формою фінансування інвестиційних проєктів у житловій сфері та сфері виробництва, транспортування та споживання теплової енергії можуть стати банківські кредити для фінансування, як короткострокових, так і середньострокових проєктів, а також кредити міжнародних фінансових інститутів та іноземних державних установ, таких як Світовий банк, ЄБРР, ЄІБ, БРРЄ та ін. (для середньострокових і довгострокових інвестиційних проєктів).</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u w:val="single"/>
          <w:lang w:eastAsia="zh-CN" w:bidi="hi-IN"/>
        </w:rPr>
        <w:t>Комерційний (товарний) кредит</w:t>
      </w:r>
    </w:p>
    <w:p>
      <w:pPr>
        <w:pStyle w:val="Normal"/>
        <w:spacing w:before="0" w:after="0"/>
        <w:ind w:firstLine="567"/>
        <w:jc w:val="both"/>
        <w:rPr/>
      </w:pPr>
      <w:r>
        <w:rPr>
          <w:rFonts w:ascii="Times New Roman" w:hAnsi="Times New Roman"/>
          <w:color w:val="000000"/>
          <w:sz w:val="24"/>
          <w:szCs w:val="24"/>
          <w:lang w:eastAsia="zh-CN" w:bidi="hi-IN"/>
        </w:rPr>
        <w:t xml:space="preserve">Комерційний, або товарний, кредит </w:t>
      </w:r>
      <w:r>
        <w:rPr>
          <w:rFonts w:ascii="Times New Roman" w:hAnsi="Times New Roman"/>
          <w:color w:val="000000"/>
          <w:sz w:val="24"/>
          <w:szCs w:val="24"/>
          <w:shd w:fill="FFFFFF" w:val="clear"/>
          <w:lang w:eastAsia="zh-CN" w:bidi="hi-IN"/>
        </w:rPr>
        <w:t>–</w:t>
      </w:r>
      <w:r>
        <w:rPr>
          <w:rFonts w:ascii="Times New Roman" w:hAnsi="Times New Roman"/>
          <w:color w:val="000000"/>
          <w:sz w:val="24"/>
          <w:szCs w:val="24"/>
          <w:lang w:eastAsia="zh-CN" w:bidi="hi-IN"/>
        </w:rPr>
        <w:t xml:space="preserve"> товарна форма кредиту, яка визначає відносини з питань перерозподілу матеріальних фондів і характеризує кредитну угоду між двома суб’єктами господарської діяльності.</w:t>
      </w:r>
    </w:p>
    <w:p>
      <w:pPr>
        <w:pStyle w:val="Normal"/>
        <w:spacing w:before="0" w:after="0"/>
        <w:ind w:firstLine="567"/>
        <w:jc w:val="both"/>
        <w:rPr/>
      </w:pPr>
      <w:r>
        <w:rPr>
          <w:rFonts w:ascii="Times New Roman" w:hAnsi="Times New Roman"/>
          <w:color w:val="000000"/>
          <w:sz w:val="24"/>
          <w:szCs w:val="24"/>
          <w:lang w:eastAsia="zh-CN" w:bidi="hi-IN"/>
        </w:rPr>
        <w:t xml:space="preserve">Товарний кредит </w:t>
      </w:r>
      <w:r>
        <w:rPr>
          <w:rFonts w:ascii="Times New Roman" w:hAnsi="Times New Roman"/>
          <w:color w:val="000000"/>
          <w:sz w:val="24"/>
          <w:szCs w:val="24"/>
          <w:shd w:fill="FFFFFF" w:val="clear"/>
          <w:lang w:eastAsia="zh-CN" w:bidi="hi-IN"/>
        </w:rPr>
        <w:t>–</w:t>
      </w:r>
      <w:r>
        <w:rPr>
          <w:rFonts w:ascii="Times New Roman" w:hAnsi="Times New Roman"/>
          <w:color w:val="000000"/>
          <w:sz w:val="24"/>
          <w:szCs w:val="24"/>
          <w:lang w:eastAsia="zh-CN" w:bidi="hi-IN"/>
        </w:rPr>
        <w:t xml:space="preserve"> кредит у вигляді постачання товарів (робіт, послуг), які передаються у власність юридичних чи фізичних осіб за угодою, умовами якої передбачено відстрочку кінцевого розрахунку на визначений сторонами строк та сплата відсотка за користування цим кредитом. </w:t>
      </w:r>
    </w:p>
    <w:p>
      <w:pPr>
        <w:pStyle w:val="Normal"/>
        <w:spacing w:before="0" w:after="0"/>
        <w:ind w:firstLine="567"/>
        <w:jc w:val="both"/>
        <w:rPr>
          <w:color w:val="000000"/>
        </w:rPr>
      </w:pPr>
      <w:r>
        <w:rPr>
          <w:rFonts w:eastAsia="TimesNewRomanPSMT" w:cs="Times New Roman" w:ascii="Times New Roman" w:hAnsi="Times New Roman"/>
          <w:iCs/>
          <w:color w:val="000000"/>
          <w:kern w:val="2"/>
          <w:sz w:val="24"/>
          <w:szCs w:val="24"/>
          <w:u w:val="single"/>
          <w:lang w:eastAsia="zh-CN" w:bidi="hi-IN"/>
        </w:rPr>
        <w:t>Фінансовий лізинг</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Фінансовий лізинг є одним з найбільш надійних законодавчо регламентованих інструментів залучення фінансування середньострокових інвестиційних проєктів у сфері виробництва, транспортування та постачання теплової енергії.</w:t>
      </w:r>
      <w:r>
        <w:br w:type="page"/>
      </w:r>
    </w:p>
    <w:p>
      <w:pPr>
        <w:pStyle w:val="111"/>
        <w:numPr>
          <w:ilvl w:val="0"/>
          <w:numId w:val="4"/>
        </w:numPr>
        <w:spacing w:before="0" w:after="0"/>
        <w:ind w:firstLine="567" w:start="0"/>
        <w:jc w:val="both"/>
        <w:rPr/>
      </w:pPr>
      <w:bookmarkStart w:id="58" w:name="__RefHeading___Toc27564_429042107"/>
      <w:bookmarkStart w:id="59" w:name="_Toc188020978"/>
      <w:bookmarkEnd w:id="58"/>
      <w:r>
        <w:rPr>
          <w:rFonts w:cs="Times New Roman" w:ascii="Times New Roman" w:hAnsi="Times New Roman"/>
          <w:b/>
          <w:bCs/>
          <w:color w:val="auto"/>
          <w:sz w:val="24"/>
          <w:szCs w:val="24"/>
        </w:rPr>
        <w:t>Календарний план реалізації проєктів МЕП</w:t>
      </w:r>
      <w:bookmarkEnd w:id="59"/>
    </w:p>
    <w:p>
      <w:pPr>
        <w:pStyle w:val="ListParagraph"/>
        <w:ind w:firstLine="567" w:start="0"/>
        <w:jc w:val="both"/>
        <w:rPr/>
      </w:pPr>
      <w:r>
        <w:rPr>
          <w:rFonts w:eastAsia="Times New Roman" w:cs="Times New Roman" w:ascii="Times New Roman" w:hAnsi="Times New Roman"/>
          <w:color w:val="000000"/>
          <w:sz w:val="24"/>
          <w:szCs w:val="24"/>
          <w:lang w:eastAsia="uk-UA"/>
        </w:rPr>
        <w:t>У таблиці 5.3. представлено календарний план реалізації муніципальних проєктів на період енергетичного плану із зазначенням кількісних показників по роках (млн грн).</w:t>
      </w:r>
    </w:p>
    <w:p>
      <w:pPr>
        <w:pStyle w:val="ListParagraph"/>
        <w:spacing w:before="0" w:after="0"/>
        <w:ind w:start="0"/>
        <w:contextualSpacing w:val="false"/>
        <w:jc w:val="center"/>
        <w:rPr/>
      </w:pPr>
      <w:r>
        <w:rPr>
          <w:rFonts w:eastAsia="Times New Roman" w:cs="Times New Roman" w:ascii="Times New Roman" w:hAnsi="Times New Roman"/>
          <w:color w:val="000000"/>
          <w:sz w:val="24"/>
          <w:szCs w:val="24"/>
          <w:lang w:eastAsia="uk-UA"/>
        </w:rPr>
        <w:t>Таблиця 5.3. Календарний план реалізації муніципальних проєктів на період енергетичного плану із зазначенням кількісних показників по роках (млн грн)</w:t>
      </w:r>
    </w:p>
    <w:tbl>
      <w:tblPr>
        <w:tblW w:w="9825"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393"/>
        <w:gridCol w:w="5052"/>
        <w:gridCol w:w="674"/>
        <w:gridCol w:w="681"/>
        <w:gridCol w:w="581"/>
        <w:gridCol w:w="591"/>
        <w:gridCol w:w="571"/>
        <w:gridCol w:w="608"/>
        <w:gridCol w:w="673"/>
      </w:tblGrid>
      <w:tr>
        <w:trPr/>
        <w:tc>
          <w:tcPr>
            <w:tcW w:w="39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w:t>
            </w:r>
          </w:p>
        </w:tc>
        <w:tc>
          <w:tcPr>
            <w:tcW w:w="5052"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Назва заходу</w:t>
            </w:r>
          </w:p>
        </w:tc>
        <w:tc>
          <w:tcPr>
            <w:tcW w:w="67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2025</w:t>
            </w:r>
          </w:p>
        </w:tc>
        <w:tc>
          <w:tcPr>
            <w:tcW w:w="6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2026</w:t>
            </w:r>
          </w:p>
        </w:tc>
        <w:tc>
          <w:tcPr>
            <w:tcW w:w="5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2027</w:t>
            </w:r>
          </w:p>
        </w:tc>
        <w:tc>
          <w:tcPr>
            <w:tcW w:w="59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2028</w:t>
            </w:r>
          </w:p>
        </w:tc>
        <w:tc>
          <w:tcPr>
            <w:tcW w:w="57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2029</w:t>
            </w:r>
          </w:p>
        </w:tc>
        <w:tc>
          <w:tcPr>
            <w:tcW w:w="60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2030</w:t>
            </w:r>
          </w:p>
        </w:tc>
        <w:tc>
          <w:tcPr>
            <w:tcW w:w="67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Разом</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Реконструкція комунального закладу «Луцька загальноосвітня школа І-ІІІ ступенів № 13» (корпус 2) на вул. Чернишевського, 29 в м. Луцьку Волинської області</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144,8</w:t>
            </w:r>
          </w:p>
        </w:tc>
        <w:tc>
          <w:tcPr>
            <w:tcW w:w="6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144,8</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Створення багатофункціонального простору для бізнесу в місті Луцьку</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64,3</w:t>
            </w:r>
          </w:p>
        </w:tc>
        <w:tc>
          <w:tcPr>
            <w:tcW w:w="6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64,3</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3</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Модернізація насосного обладнання на об’єктах водоканалу</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0,0</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0,0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4</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Впровадження системи автоматизації управління та диспетчеризації технологічним процесом 1-го, 2-го та 3-го підйомів води</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5,4</w:t>
            </w:r>
          </w:p>
        </w:tc>
        <w:tc>
          <w:tcPr>
            <w:tcW w:w="6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5,4</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5</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Реконструкція трансформаторної підстанції ТП № 345 (КНС № 2) в м. Луцьку</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7,8</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3,3</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11,1</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6</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Реконструкція РУ-10 кВ і РУ-0,4 кВ на КНС-4</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6,4</w:t>
            </w:r>
          </w:p>
        </w:tc>
        <w:tc>
          <w:tcPr>
            <w:tcW w:w="6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6,4</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7</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Будівництво КНС для перекачування промивних вод Дубнівського водозабору</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12,6</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5,4</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18,0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8</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Встановлення біогазової установки для компенсації власного споживання електричної енергії</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0,0</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0,0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9</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Реконструкція очисних споруд каналізації міста Луцька</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0,0</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0,0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10</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color w:val="000000"/>
                <w:sz w:val="20"/>
                <w:szCs w:val="20"/>
              </w:rPr>
              <w:t>Популяризація енергоефективності та використання ВДЕ серед представників бізнесу, навчальних закладів тощо</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0,03</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0,03</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0,03</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0,02</w:t>
            </w:r>
          </w:p>
        </w:tc>
        <w:tc>
          <w:tcPr>
            <w:tcW w:w="571" w:type="dxa"/>
            <w:tcBorders>
              <w:start w:val="single" w:sz="4" w:space="0" w:color="000000"/>
              <w:bottom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0,02</w:t>
            </w:r>
          </w:p>
        </w:tc>
        <w:tc>
          <w:tcPr>
            <w:tcW w:w="608" w:type="dxa"/>
            <w:tcBorders>
              <w:start w:val="single" w:sz="4" w:space="0" w:color="000000"/>
              <w:bottom w:val="single" w:sz="4" w:space="0" w:color="000000"/>
            </w:tcBorders>
            <w:shd w:color="auto" w:fill="DDDDDD" w:val="clear"/>
            <w:vAlign w:val="center"/>
          </w:tcPr>
          <w:p>
            <w:pPr>
              <w:pStyle w:val="Style25"/>
              <w:spacing w:before="0" w:after="0"/>
              <w:jc w:val="center"/>
              <w:rPr/>
            </w:pPr>
            <w:r>
              <w:rPr>
                <w:rFonts w:ascii="Times New Roman" w:hAnsi="Times New Roman"/>
                <w:sz w:val="20"/>
                <w:szCs w:val="20"/>
              </w:rPr>
              <w:t>0,02</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0,15</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11</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Термомодернізація (пакет Б) та виконання окремих енергоефективних заходів (Пакет А) у житлових багатоквартирних будинках ОСББ за державною програмою «Енергодім»,  встановлення СЕС та теплових насосів за державною програмою «Гріндім»; надання фінансової підтримки та відшкодування частини суми кредитів для ОСББ з бюджету громади Луцької МТГ</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429,0</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471,0</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518,0</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570,0</w:t>
            </w:r>
          </w:p>
        </w:tc>
        <w:tc>
          <w:tcPr>
            <w:tcW w:w="57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627,0</w:t>
            </w:r>
          </w:p>
        </w:tc>
        <w:tc>
          <w:tcPr>
            <w:tcW w:w="608"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690,0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3305,0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12</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Заміна авто та спецтранспорту КП «Луцькводоканал»</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6,0</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6,6</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6,0</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4,8</w:t>
            </w:r>
          </w:p>
        </w:tc>
        <w:tc>
          <w:tcPr>
            <w:tcW w:w="57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3,6</w:t>
            </w:r>
          </w:p>
        </w:tc>
        <w:tc>
          <w:tcPr>
            <w:tcW w:w="608"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30,0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13</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Оновлення тролейбусного парку м. Луцька</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165,0</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165,0</w:t>
            </w:r>
          </w:p>
        </w:tc>
        <w:tc>
          <w:tcPr>
            <w:tcW w:w="581" w:type="dxa"/>
            <w:tcBorders>
              <w:start w:val="single" w:sz="4" w:space="0" w:color="000000"/>
              <w:bottom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shd w:fill="FFFFFF" w:val="clear"/>
              </w:rPr>
              <w:t>0</w:t>
            </w:r>
          </w:p>
        </w:tc>
        <w:tc>
          <w:tcPr>
            <w:tcW w:w="591" w:type="dxa"/>
            <w:tcBorders>
              <w:start w:val="single" w:sz="4" w:space="0" w:color="000000"/>
              <w:bottom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shd w:fill="FFFFFF" w:val="clear"/>
              </w:rPr>
              <w:t>0</w:t>
            </w:r>
          </w:p>
        </w:tc>
        <w:tc>
          <w:tcPr>
            <w:tcW w:w="571" w:type="dxa"/>
            <w:tcBorders>
              <w:start w:val="single" w:sz="4" w:space="0" w:color="000000"/>
              <w:bottom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shd w:fill="FFFFFF" w:val="clear"/>
              </w:rPr>
              <w:t>0</w:t>
            </w:r>
          </w:p>
        </w:tc>
        <w:tc>
          <w:tcPr>
            <w:tcW w:w="608" w:type="dxa"/>
            <w:tcBorders>
              <w:start w:val="single" w:sz="4" w:space="0" w:color="000000"/>
              <w:bottom w:val="single" w:sz="4" w:space="0" w:color="000000"/>
            </w:tcBorders>
            <w:shd w:color="auto" w:fill="FFFFFF" w:val="clear"/>
            <w:vAlign w:val="center"/>
          </w:tcPr>
          <w:p>
            <w:pPr>
              <w:pStyle w:val="Normal"/>
              <w:spacing w:lineRule="auto" w:line="240" w:before="0" w:after="0"/>
              <w:jc w:val="center"/>
              <w:textAlignment w:val="center"/>
              <w:rPr/>
            </w:pPr>
            <w:r>
              <w:rPr>
                <w:rFonts w:ascii="Times New Roman" w:hAnsi="Times New Roman"/>
                <w:sz w:val="20"/>
                <w:szCs w:val="20"/>
                <w:shd w:fill="FFFFFF" w:val="clear"/>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330,0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14</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Оновлення інфраструктури електротранспорту міста Луцька Волинської області</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6,4</w:t>
            </w:r>
          </w:p>
        </w:tc>
        <w:tc>
          <w:tcPr>
            <w:tcW w:w="6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6,4</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15</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Будівництво заїзних кишень для зупинки громадського пасажирського транспорту на маршрутах загального користування</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5,0</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5,5</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5,0</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4,0</w:t>
            </w:r>
          </w:p>
        </w:tc>
        <w:tc>
          <w:tcPr>
            <w:tcW w:w="57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3,0</w:t>
            </w:r>
          </w:p>
        </w:tc>
        <w:tc>
          <w:tcPr>
            <w:tcW w:w="608"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2,5</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25,0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16</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Створення та розвиток велосипедної інфраструктури в м. Луцьку</w:t>
            </w:r>
          </w:p>
        </w:tc>
        <w:tc>
          <w:tcPr>
            <w:tcW w:w="674"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17,0</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42,5</w:t>
            </w:r>
          </w:p>
        </w:tc>
        <w:tc>
          <w:tcPr>
            <w:tcW w:w="5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42,5</w:t>
            </w:r>
          </w:p>
        </w:tc>
        <w:tc>
          <w:tcPr>
            <w:tcW w:w="59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25,5</w:t>
            </w:r>
          </w:p>
        </w:tc>
        <w:tc>
          <w:tcPr>
            <w:tcW w:w="57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25,5</w:t>
            </w:r>
          </w:p>
        </w:tc>
        <w:tc>
          <w:tcPr>
            <w:tcW w:w="608"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17,0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170,0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17</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Технічне переоснащення котельні зі встановлення твердопаливних котлів</w:t>
            </w:r>
          </w:p>
        </w:tc>
        <w:tc>
          <w:tcPr>
            <w:tcW w:w="674"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8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9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71"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608"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1,0</w:t>
            </w:r>
          </w:p>
        </w:tc>
      </w:tr>
      <w:tr>
        <w:trPr/>
        <w:tc>
          <w:tcPr>
            <w:tcW w:w="39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18</w:t>
            </w:r>
          </w:p>
        </w:tc>
        <w:tc>
          <w:tcPr>
            <w:tcW w:w="505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Проєкт модернізації системи централізованого теплопостачання (друга фаза) у м. Луцьку в рамках програми RLF</w:t>
            </w:r>
          </w:p>
        </w:tc>
        <w:tc>
          <w:tcPr>
            <w:tcW w:w="674"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681,7</w:t>
            </w:r>
          </w:p>
        </w:tc>
        <w:tc>
          <w:tcPr>
            <w:tcW w:w="6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681,7</w:t>
            </w:r>
          </w:p>
        </w:tc>
      </w:tr>
      <w:tr>
        <w:trPr/>
        <w:tc>
          <w:tcPr>
            <w:tcW w:w="39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19</w:t>
            </w:r>
          </w:p>
        </w:tc>
        <w:tc>
          <w:tcPr>
            <w:tcW w:w="5052" w:type="dxa"/>
            <w:tcBorders>
              <w:top w:val="single" w:sz="4" w:space="0" w:color="000000"/>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Конденсаційна рекуперація тепла з димових газів–Луцьк 5 МВт</w:t>
            </w:r>
          </w:p>
        </w:tc>
        <w:tc>
          <w:tcPr>
            <w:tcW w:w="674" w:type="dxa"/>
            <w:tcBorders>
              <w:top w:val="single" w:sz="4" w:space="0" w:color="000000"/>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21,7</w:t>
            </w:r>
          </w:p>
        </w:tc>
        <w:tc>
          <w:tcPr>
            <w:tcW w:w="681"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81"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top w:val="single" w:sz="4" w:space="0" w:color="000000"/>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21,7</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Проєкт реконструкції системи централізованого теплопостачання у м. Луцьку</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356,0</w:t>
            </w:r>
          </w:p>
        </w:tc>
        <w:tc>
          <w:tcPr>
            <w:tcW w:w="681" w:type="dxa"/>
            <w:tcBorders>
              <w:start w:val="single" w:sz="4" w:space="0" w:color="000000"/>
              <w:bottom w:val="single" w:sz="4" w:space="0" w:color="000000"/>
            </w:tcBorders>
            <w:shd w:color="auto" w:fill="DDDDDD" w:val="clear"/>
            <w:vAlign w:val="center"/>
          </w:tcPr>
          <w:p>
            <w:pPr>
              <w:pStyle w:val="Normal"/>
              <w:spacing w:lineRule="auto" w:line="240" w:before="0" w:after="0"/>
              <w:jc w:val="center"/>
              <w:textAlignment w:val="center"/>
              <w:rPr/>
            </w:pPr>
            <w:r>
              <w:rPr>
                <w:rFonts w:ascii="Times New Roman" w:hAnsi="Times New Roman"/>
                <w:sz w:val="20"/>
                <w:szCs w:val="20"/>
              </w:rPr>
              <w:t>356,0</w:t>
            </w:r>
          </w:p>
        </w:tc>
        <w:tc>
          <w:tcPr>
            <w:tcW w:w="58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9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712,1</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21</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Будівництво комунальних СЕС для комерційного виробництва електроенергії</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2,6</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57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w:t>
            </w:r>
          </w:p>
        </w:tc>
        <w:tc>
          <w:tcPr>
            <w:tcW w:w="608"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2,6</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25,5</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22</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Побудова комерційних приватних СЕС та ВЕС</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34,0</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68,0</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51,0</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17,0</w:t>
            </w:r>
          </w:p>
        </w:tc>
        <w:tc>
          <w:tcPr>
            <w:tcW w:w="571"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08" w:type="dxa"/>
            <w:tcBorders>
              <w:start w:val="single" w:sz="4" w:space="0" w:color="000000"/>
              <w:bottom w:val="single" w:sz="4" w:space="0" w:color="000000"/>
            </w:tcBorders>
            <w:vAlign w:val="center"/>
          </w:tcPr>
          <w:p>
            <w:pPr>
              <w:pStyle w:val="Normal"/>
              <w:spacing w:lineRule="auto" w:line="240" w:before="0" w:after="0"/>
              <w:jc w:val="center"/>
              <w:textAlignment w:val="center"/>
              <w:rPr/>
            </w:pPr>
            <w:r>
              <w:rPr>
                <w:rFonts w:ascii="Times New Roman" w:hAnsi="Times New Roman"/>
                <w:sz w:val="20"/>
                <w:szCs w:val="20"/>
              </w:rPr>
              <w:t>0</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170,0</w:t>
            </w:r>
          </w:p>
        </w:tc>
      </w:tr>
      <w:tr>
        <w:trPr/>
        <w:tc>
          <w:tcPr>
            <w:tcW w:w="393"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23</w:t>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Удосконалення системи поводження з ТПВ</w:t>
            </w:r>
          </w:p>
        </w:tc>
        <w:tc>
          <w:tcPr>
            <w:tcW w:w="674"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8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9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571"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0,2</w:t>
            </w:r>
          </w:p>
        </w:tc>
        <w:tc>
          <w:tcPr>
            <w:tcW w:w="608" w:type="dxa"/>
            <w:tcBorders>
              <w:start w:val="single" w:sz="4" w:space="0" w:color="000000"/>
              <w:bottom w:val="single" w:sz="4" w:space="0" w:color="000000"/>
            </w:tcBorders>
            <w:shd w:color="auto" w:fill="DDDDDD" w:val="clear"/>
            <w:vAlign w:val="center"/>
          </w:tcPr>
          <w:p>
            <w:pPr>
              <w:pStyle w:val="Style25"/>
              <w:spacing w:before="0" w:after="0"/>
              <w:jc w:val="center"/>
              <w:textAlignment w:val="center"/>
              <w:rPr/>
            </w:pPr>
            <w:r>
              <w:rPr>
                <w:rFonts w:ascii="Times New Roman" w:hAnsi="Times New Roman"/>
                <w:sz w:val="20"/>
                <w:szCs w:val="20"/>
              </w:rPr>
              <w:t>0,1</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1,0</w:t>
            </w:r>
          </w:p>
        </w:tc>
      </w:tr>
      <w:tr>
        <w:trPr/>
        <w:tc>
          <w:tcPr>
            <w:tcW w:w="393" w:type="dxa"/>
            <w:tcBorders>
              <w:start w:val="single" w:sz="4" w:space="0" w:color="000000"/>
              <w:bottom w:val="single" w:sz="4" w:space="0" w:color="000000"/>
            </w:tcBorders>
            <w:vAlign w:val="bottom"/>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5052"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Разом</w:t>
            </w:r>
          </w:p>
        </w:tc>
        <w:tc>
          <w:tcPr>
            <w:tcW w:w="674" w:type="dxa"/>
            <w:tcBorders>
              <w:start w:val="single" w:sz="4" w:space="0" w:color="000000"/>
              <w:bottom w:val="single" w:sz="4" w:space="0" w:color="000000"/>
            </w:tcBorders>
            <w:vAlign w:val="center"/>
          </w:tcPr>
          <w:p>
            <w:pPr>
              <w:pStyle w:val="Style25"/>
              <w:spacing w:before="0" w:after="0"/>
              <w:jc w:val="center"/>
              <w:textAlignment w:val="center"/>
              <w:rPr/>
            </w:pPr>
            <w:r>
              <w:rPr>
                <w:rFonts w:ascii="Times New Roman" w:hAnsi="Times New Roman"/>
                <w:sz w:val="20"/>
                <w:szCs w:val="20"/>
              </w:rPr>
              <w:t>1965,9</w:t>
            </w:r>
          </w:p>
        </w:tc>
        <w:tc>
          <w:tcPr>
            <w:tcW w:w="681" w:type="dxa"/>
            <w:tcBorders>
              <w:start w:val="single" w:sz="4" w:space="0" w:color="000000"/>
              <w:bottom w:val="single" w:sz="4" w:space="0" w:color="000000"/>
            </w:tcBorders>
            <w:vAlign w:val="center"/>
          </w:tcPr>
          <w:p>
            <w:pPr>
              <w:pStyle w:val="Style25"/>
              <w:spacing w:before="0" w:after="0"/>
              <w:jc w:val="center"/>
              <w:textAlignment w:val="center"/>
              <w:rPr/>
            </w:pPr>
            <w:r>
              <w:rPr>
                <w:rFonts w:ascii="Times New Roman" w:hAnsi="Times New Roman"/>
                <w:sz w:val="20"/>
                <w:szCs w:val="20"/>
              </w:rPr>
              <w:t>1128,9</w:t>
            </w:r>
          </w:p>
        </w:tc>
        <w:tc>
          <w:tcPr>
            <w:tcW w:w="581" w:type="dxa"/>
            <w:tcBorders>
              <w:start w:val="single" w:sz="4" w:space="0" w:color="000000"/>
              <w:bottom w:val="single" w:sz="4" w:space="0" w:color="000000"/>
            </w:tcBorders>
            <w:vAlign w:val="center"/>
          </w:tcPr>
          <w:p>
            <w:pPr>
              <w:pStyle w:val="Style25"/>
              <w:spacing w:before="0" w:after="0"/>
              <w:jc w:val="center"/>
              <w:textAlignment w:val="center"/>
              <w:rPr/>
            </w:pPr>
            <w:r>
              <w:rPr>
                <w:rFonts w:ascii="Times New Roman" w:hAnsi="Times New Roman"/>
                <w:sz w:val="20"/>
                <w:szCs w:val="20"/>
              </w:rPr>
              <w:t>628,0</w:t>
            </w:r>
          </w:p>
        </w:tc>
        <w:tc>
          <w:tcPr>
            <w:tcW w:w="591" w:type="dxa"/>
            <w:tcBorders>
              <w:start w:val="single" w:sz="4" w:space="0" w:color="000000"/>
              <w:bottom w:val="single" w:sz="4" w:space="0" w:color="000000"/>
            </w:tcBorders>
            <w:vAlign w:val="center"/>
          </w:tcPr>
          <w:p>
            <w:pPr>
              <w:pStyle w:val="Style25"/>
              <w:spacing w:before="0" w:after="0"/>
              <w:jc w:val="center"/>
              <w:textAlignment w:val="center"/>
              <w:rPr/>
            </w:pPr>
            <w:r>
              <w:rPr>
                <w:rFonts w:ascii="Times New Roman" w:hAnsi="Times New Roman"/>
                <w:sz w:val="20"/>
                <w:szCs w:val="20"/>
              </w:rPr>
              <w:t>626,8</w:t>
            </w:r>
          </w:p>
        </w:tc>
        <w:tc>
          <w:tcPr>
            <w:tcW w:w="571" w:type="dxa"/>
            <w:tcBorders>
              <w:start w:val="single" w:sz="4" w:space="0" w:color="000000"/>
              <w:bottom w:val="single" w:sz="4" w:space="0" w:color="000000"/>
            </w:tcBorders>
            <w:vAlign w:val="center"/>
          </w:tcPr>
          <w:p>
            <w:pPr>
              <w:pStyle w:val="Style25"/>
              <w:spacing w:before="0" w:after="0"/>
              <w:jc w:val="center"/>
              <w:textAlignment w:val="center"/>
              <w:rPr/>
            </w:pPr>
            <w:r>
              <w:rPr>
                <w:rFonts w:ascii="Times New Roman" w:hAnsi="Times New Roman"/>
                <w:sz w:val="20"/>
                <w:szCs w:val="20"/>
              </w:rPr>
              <w:t>664,6</w:t>
            </w:r>
          </w:p>
        </w:tc>
        <w:tc>
          <w:tcPr>
            <w:tcW w:w="608" w:type="dxa"/>
            <w:tcBorders>
              <w:start w:val="single" w:sz="4" w:space="0" w:color="000000"/>
              <w:bottom w:val="single" w:sz="4" w:space="0" w:color="000000"/>
            </w:tcBorders>
            <w:vAlign w:val="center"/>
          </w:tcPr>
          <w:p>
            <w:pPr>
              <w:pStyle w:val="Style25"/>
              <w:spacing w:before="0" w:after="0"/>
              <w:jc w:val="center"/>
              <w:textAlignment w:val="center"/>
              <w:rPr/>
            </w:pPr>
            <w:r>
              <w:rPr>
                <w:rFonts w:ascii="Times New Roman" w:hAnsi="Times New Roman"/>
                <w:sz w:val="20"/>
                <w:szCs w:val="20"/>
              </w:rPr>
              <w:t>715,3</w:t>
            </w:r>
          </w:p>
        </w:tc>
        <w:tc>
          <w:tcPr>
            <w:tcW w:w="673" w:type="dxa"/>
            <w:tcBorders>
              <w:start w:val="single" w:sz="4" w:space="0" w:color="000000"/>
              <w:bottom w:val="single" w:sz="4" w:space="0" w:color="000000"/>
              <w:end w:val="single" w:sz="4" w:space="0" w:color="000000"/>
            </w:tcBorders>
            <w:vAlign w:val="center"/>
          </w:tcPr>
          <w:p>
            <w:pPr>
              <w:pStyle w:val="Style25"/>
              <w:spacing w:before="0" w:after="0"/>
              <w:jc w:val="center"/>
              <w:textAlignment w:val="center"/>
              <w:rPr/>
            </w:pPr>
            <w:r>
              <w:rPr>
                <w:rFonts w:ascii="Times New Roman" w:hAnsi="Times New Roman"/>
                <w:sz w:val="20"/>
                <w:szCs w:val="20"/>
              </w:rPr>
              <w:t>5729,5</w:t>
            </w:r>
          </w:p>
        </w:tc>
      </w:tr>
    </w:tbl>
    <w:p>
      <w:pPr>
        <w:pStyle w:val="Normal"/>
        <w:spacing w:before="0" w:after="0"/>
        <w:ind w:firstLine="567"/>
        <w:jc w:val="both"/>
        <w:rPr/>
      </w:pPr>
      <w:r>
        <w:rPr>
          <w:rFonts w:eastAsia="Times New Roman" w:cs="Times New Roman" w:ascii="Times New Roman" w:hAnsi="Times New Roman"/>
          <w:color w:val="000000"/>
          <w:sz w:val="24"/>
          <w:szCs w:val="24"/>
          <w:shd w:fill="FFFFFF" w:val="clear"/>
          <w:lang w:eastAsia="uk-UA"/>
        </w:rPr>
        <w:t>Календарний план реалізації заходів МЕП складений виходячи з планових та фактичних показників бюджету Луцької МТГ 2025 року, моделювання наступних періодів шляхом екстраполяції даних, тенденцій та закономірностей останніх кількох років. У разі появи нових проєктів, що матимуть суттєвий вплив на календарний план, буде внесено зміни в графік виконання МЕП та обсяги інвестицій.</w:t>
      </w:r>
    </w:p>
    <w:p>
      <w:pPr>
        <w:pStyle w:val="Normal"/>
        <w:spacing w:before="0" w:after="0"/>
        <w:ind w:firstLine="567"/>
        <w:jc w:val="both"/>
        <w:rPr/>
      </w:pPr>
      <w:r>
        <w:rPr>
          <w:rFonts w:ascii="Times New Roman" w:hAnsi="Times New Roman"/>
          <w:sz w:val="24"/>
          <w:szCs w:val="24"/>
        </w:rPr>
        <w:t xml:space="preserve">У таблиці 5.4. наведено зведений інвестиційний баланс </w:t>
      </w:r>
      <w:r>
        <w:rPr>
          <w:rFonts w:eastAsia="Times New Roman" w:cs="Times New Roman" w:ascii="Times New Roman" w:hAnsi="Times New Roman"/>
          <w:color w:val="000000"/>
          <w:sz w:val="24"/>
          <w:szCs w:val="24"/>
          <w:lang w:eastAsia="uk-UA"/>
        </w:rPr>
        <w:t>на період енергетичного плану із зазначенням кількісних показників по роках (тис. грн).</w:t>
      </w:r>
    </w:p>
    <w:p>
      <w:pPr>
        <w:pStyle w:val="Normal"/>
        <w:spacing w:before="0" w:after="0"/>
        <w:jc w:val="center"/>
        <w:rPr/>
      </w:pPr>
      <w:r>
        <w:rPr>
          <w:rFonts w:eastAsia="Times New Roman" w:cs="Times New Roman" w:ascii="Times New Roman" w:hAnsi="Times New Roman"/>
          <w:color w:val="000000"/>
          <w:sz w:val="24"/>
          <w:szCs w:val="24"/>
          <w:lang w:eastAsia="uk-UA"/>
        </w:rPr>
        <w:t>Таблиця 5.4. Інвестиційний баланс на період енергетичного плану із зазначенням кількісних показників по роках (тис. грн)</w:t>
      </w:r>
    </w:p>
    <w:tbl>
      <w:tblPr>
        <w:tblW w:w="9810"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516"/>
        <w:gridCol w:w="2608"/>
        <w:gridCol w:w="1114"/>
        <w:gridCol w:w="1134"/>
        <w:gridCol w:w="1135"/>
        <w:gridCol w:w="1159"/>
        <w:gridCol w:w="1127"/>
        <w:gridCol w:w="1015"/>
      </w:tblGrid>
      <w:tr>
        <w:trPr>
          <w:trHeight w:val="276" w:hRule="atLeast"/>
        </w:trPr>
        <w:tc>
          <w:tcPr>
            <w:tcW w:w="516"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w:t>
            </w:r>
          </w:p>
        </w:tc>
        <w:tc>
          <w:tcPr>
            <w:tcW w:w="2608"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Назва заходу</w:t>
            </w:r>
          </w:p>
        </w:tc>
        <w:tc>
          <w:tcPr>
            <w:tcW w:w="1114"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2025</w:t>
            </w:r>
          </w:p>
        </w:tc>
        <w:tc>
          <w:tcPr>
            <w:tcW w:w="1134"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2026</w:t>
            </w:r>
          </w:p>
        </w:tc>
        <w:tc>
          <w:tcPr>
            <w:tcW w:w="1135"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2027</w:t>
            </w:r>
          </w:p>
        </w:tc>
        <w:tc>
          <w:tcPr>
            <w:tcW w:w="1159"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2028</w:t>
            </w:r>
          </w:p>
        </w:tc>
        <w:tc>
          <w:tcPr>
            <w:tcW w:w="1127" w:type="dxa"/>
            <w:tcBorders>
              <w:top w:val="single" w:sz="4" w:space="0" w:color="000000"/>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2029</w:t>
            </w:r>
          </w:p>
        </w:tc>
        <w:tc>
          <w:tcPr>
            <w:tcW w:w="10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sz w:val="20"/>
                <w:szCs w:val="20"/>
              </w:rPr>
            </w:pPr>
            <w:r>
              <w:rPr>
                <w:rFonts w:ascii="Times New Roman" w:hAnsi="Times New Roman"/>
                <w:sz w:val="20"/>
                <w:szCs w:val="20"/>
              </w:rPr>
              <w:t>2030</w:t>
            </w:r>
          </w:p>
        </w:tc>
      </w:tr>
      <w:tr>
        <w:trPr>
          <w:trHeight w:val="276"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1</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Муніципальні будівлі</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209055,5</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r>
      <w:tr>
        <w:trPr>
          <w:trHeight w:val="477"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2</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Сфера водопостачання та водовідведення</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32207,2</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8,8</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0,0</w:t>
            </w:r>
          </w:p>
        </w:tc>
      </w:tr>
      <w:tr>
        <w:trPr>
          <w:trHeight w:val="276"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3</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Третинні будівлі</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30,0</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33,0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24,0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18,0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15,0</w:t>
            </w:r>
          </w:p>
        </w:tc>
      </w:tr>
      <w:tr>
        <w:trPr>
          <w:trHeight w:val="276"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4</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Житлові будівлі</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429000,0</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471000,0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518000,0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570000,0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627000,0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690000,0</w:t>
            </w:r>
          </w:p>
        </w:tc>
      </w:tr>
      <w:tr>
        <w:trPr>
          <w:trHeight w:val="276"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5</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Транспорт</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199366,1</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219596,0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53500,0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34300,0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32100,0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22500,0</w:t>
            </w:r>
          </w:p>
        </w:tc>
      </w:tr>
      <w:tr>
        <w:trPr>
          <w:trHeight w:val="276"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6</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Сфера теплопостачання</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1059548,0</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356244,0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100,0</w:t>
            </w:r>
          </w:p>
        </w:tc>
      </w:tr>
      <w:tr>
        <w:trPr>
          <w:trHeight w:val="477"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7</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Генерація, постачання та розподіл електроенергії</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36550,0</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73100,0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56100,0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22100,0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5100,0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2550,0</w:t>
            </w:r>
          </w:p>
        </w:tc>
      </w:tr>
      <w:tr>
        <w:trPr>
          <w:trHeight w:val="477" w:hRule="atLeast"/>
        </w:trPr>
        <w:tc>
          <w:tcPr>
            <w:tcW w:w="516" w:type="dxa"/>
            <w:tcBorders>
              <w:start w:val="single" w:sz="4" w:space="0" w:color="000000"/>
              <w:bottom w:val="single" w:sz="4" w:space="0" w:color="000000"/>
            </w:tcBorders>
          </w:tcPr>
          <w:p>
            <w:pPr>
              <w:pStyle w:val="Normal"/>
              <w:spacing w:lineRule="auto" w:line="240" w:before="0" w:after="0"/>
              <w:jc w:val="center"/>
              <w:rPr>
                <w:sz w:val="20"/>
                <w:szCs w:val="20"/>
              </w:rPr>
            </w:pPr>
            <w:r>
              <w:rPr>
                <w:rFonts w:ascii="Times New Roman" w:hAnsi="Times New Roman"/>
                <w:sz w:val="20"/>
                <w:szCs w:val="20"/>
              </w:rPr>
              <w:t>8</w:t>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Поводження з твердими побутовими відходами</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100,0</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200,0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100,0</w:t>
            </w:r>
          </w:p>
        </w:tc>
      </w:tr>
      <w:tr>
        <w:trPr>
          <w:trHeight w:val="276" w:hRule="atLeast"/>
        </w:trPr>
        <w:tc>
          <w:tcPr>
            <w:tcW w:w="516" w:type="dxa"/>
            <w:tcBorders>
              <w:start w:val="single" w:sz="4" w:space="0" w:color="000000"/>
              <w:bottom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2608" w:type="dxa"/>
            <w:tcBorders>
              <w:start w:val="single" w:sz="4" w:space="0" w:color="000000"/>
              <w:bottom w:val="single" w:sz="4" w:space="0" w:color="000000"/>
            </w:tcBorders>
          </w:tcPr>
          <w:p>
            <w:pPr>
              <w:pStyle w:val="Normal"/>
              <w:spacing w:lineRule="auto" w:line="240" w:before="0" w:after="0"/>
              <w:rPr>
                <w:sz w:val="20"/>
                <w:szCs w:val="20"/>
              </w:rPr>
            </w:pPr>
            <w:r>
              <w:rPr>
                <w:rFonts w:ascii="Times New Roman" w:hAnsi="Times New Roman"/>
                <w:sz w:val="20"/>
                <w:szCs w:val="20"/>
              </w:rPr>
              <w:t>Всього:</w:t>
            </w:r>
          </w:p>
        </w:tc>
        <w:tc>
          <w:tcPr>
            <w:tcW w:w="111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1965856,8</w:t>
            </w:r>
          </w:p>
        </w:tc>
        <w:tc>
          <w:tcPr>
            <w:tcW w:w="1134"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1120181,8</w:t>
            </w:r>
          </w:p>
        </w:tc>
        <w:tc>
          <w:tcPr>
            <w:tcW w:w="1135"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628030,0</w:t>
            </w:r>
          </w:p>
        </w:tc>
        <w:tc>
          <w:tcPr>
            <w:tcW w:w="1159"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626824,0</w:t>
            </w:r>
          </w:p>
        </w:tc>
        <w:tc>
          <w:tcPr>
            <w:tcW w:w="1127" w:type="dxa"/>
            <w:tcBorders>
              <w:start w:val="single" w:sz="4" w:space="0" w:color="000000"/>
              <w:bottom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664618,0</w:t>
            </w:r>
          </w:p>
        </w:tc>
        <w:tc>
          <w:tcPr>
            <w:tcW w:w="1015"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sz w:val="20"/>
                <w:szCs w:val="20"/>
              </w:rPr>
            </w:pPr>
            <w:r>
              <w:rPr>
                <w:rFonts w:ascii="Times New Roman" w:hAnsi="Times New Roman"/>
                <w:sz w:val="20"/>
                <w:szCs w:val="20"/>
              </w:rPr>
              <w:t>715265,0</w:t>
            </w:r>
          </w:p>
        </w:tc>
      </w:tr>
    </w:tbl>
    <w:p>
      <w:pPr>
        <w:pStyle w:val="Normal"/>
        <w:jc w:val="center"/>
        <w:rPr/>
      </w:pPr>
      <w:r/>
      <w:r>
        <w:rPr>
          <w:rFonts w:ascii="Times New Roman" w:hAnsi="Times New Roman"/>
          <w:color w:val="000000"/>
          <w:sz w:val="24"/>
          <w:szCs w:val="24"/>
        </w:rPr>
        <w:drawing>
          <wp:anchor behindDoc="0" distT="0" distB="0" distL="0" distR="0" simplePos="0" locked="0" layoutInCell="0" allowOverlap="1" relativeHeight="27">
            <wp:simplePos x="0" y="0"/>
            <wp:positionH relativeFrom="column">
              <wp:align>center</wp:align>
            </wp:positionH>
            <wp:positionV relativeFrom="paragraph">
              <wp:posOffset>635</wp:posOffset>
            </wp:positionV>
            <wp:extent cx="5547995" cy="2597150"/>
            <wp:effectExtent l="0" t="0" r="0" b="0"/>
            <wp:wrapSquare wrapText="largest"/>
            <wp:docPr id="23" name="Об'єкт18"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t xml:space="preserve">Рисунок 5.1. </w:t>
      </w:r>
      <w:r>
        <w:rPr>
          <w:rFonts w:eastAsia="Times New Roman" w:cs="Times New Roman" w:ascii="Times New Roman" w:hAnsi="Times New Roman"/>
          <w:color w:val="000000"/>
          <w:sz w:val="24"/>
          <w:szCs w:val="24"/>
          <w:lang w:eastAsia="uk-UA"/>
        </w:rPr>
        <w:t>Зведений інвестиційний баланс за категоріями кінцевих споживачів</w:t>
      </w:r>
      <w:r>
        <w:br w:type="page"/>
      </w:r>
    </w:p>
    <w:p>
      <w:pPr>
        <w:pStyle w:val="111"/>
        <w:numPr>
          <w:ilvl w:val="0"/>
          <w:numId w:val="4"/>
        </w:numPr>
        <w:spacing w:before="0" w:after="0"/>
        <w:ind w:hanging="0" w:start="567"/>
        <w:jc w:val="both"/>
        <w:rPr/>
      </w:pPr>
      <w:bookmarkStart w:id="60" w:name="__RefHeading___Toc27566_429042107"/>
      <w:bookmarkEnd w:id="60"/>
      <w:r>
        <w:rPr>
          <w:rFonts w:cs="Times New Roman" w:ascii="Times New Roman" w:hAnsi="Times New Roman"/>
          <w:b/>
          <w:bCs/>
          <w:color w:val="auto"/>
          <w:sz w:val="24"/>
          <w:szCs w:val="24"/>
        </w:rPr>
        <w:t>О</w:t>
      </w:r>
      <w:bookmarkStart w:id="61" w:name="_Toc188020979"/>
      <w:r>
        <w:rPr>
          <w:rFonts w:cs="Times New Roman" w:ascii="Times New Roman" w:hAnsi="Times New Roman"/>
          <w:b/>
          <w:bCs/>
          <w:color w:val="auto"/>
          <w:sz w:val="24"/>
          <w:szCs w:val="24"/>
        </w:rPr>
        <w:t>цінка та мінімізація ризиків</w:t>
      </w:r>
      <w:bookmarkEnd w:id="61"/>
    </w:p>
    <w:p>
      <w:pPr>
        <w:pStyle w:val="Normal"/>
        <w:spacing w:before="0" w:after="0"/>
        <w:ind w:firstLine="567"/>
        <w:jc w:val="both"/>
        <w:rPr/>
      </w:pPr>
      <w:r>
        <w:rPr>
          <w:rFonts w:ascii="Times New Roman" w:hAnsi="Times New Roman"/>
          <w:sz w:val="24"/>
          <w:szCs w:val="24"/>
          <w:lang w:eastAsia="zh-CN" w:bidi="hi-IN"/>
        </w:rPr>
        <w:t>Для досягнення успіху орган місцевого самоврядування, як основний виконавець МЕП, повинен здійснювати моніторинг проєктів та управляти ризиками на кожному етапі їх реалізації.</w:t>
      </w:r>
    </w:p>
    <w:p>
      <w:pPr>
        <w:pStyle w:val="Normal"/>
        <w:spacing w:before="0" w:after="0"/>
        <w:ind w:firstLine="567"/>
        <w:jc w:val="both"/>
        <w:rPr/>
      </w:pPr>
      <w:r>
        <w:rPr>
          <w:rFonts w:ascii="Times New Roman" w:hAnsi="Times New Roman"/>
          <w:sz w:val="24"/>
          <w:szCs w:val="24"/>
          <w:lang w:eastAsia="zh-CN" w:bidi="hi-IN"/>
        </w:rPr>
        <w:t>Управління ризиками передбачає їх визначення та мінімізацію, а також розподіл решти ризиків серед тих учасників проєктів, хто має у своєму розпорядженні оптимальні засоби для їх врегулювання. При незадовільному розподілі ризиків, як за окремим проєктом, так і на певному етапі виконання МЕП, муніципалітет повинен розглянути можливість поліпшення становища шляхом залучення нових учасників. Такими учасниками можуть виступити держава, страхова компанія (страхування ризиків) і т. д.</w:t>
      </w:r>
    </w:p>
    <w:p>
      <w:pPr>
        <w:pStyle w:val="Normal"/>
        <w:spacing w:before="0" w:after="0"/>
        <w:ind w:firstLine="567"/>
        <w:jc w:val="both"/>
        <w:rPr/>
      </w:pPr>
      <w:r>
        <w:rPr>
          <w:rFonts w:ascii="Times New Roman" w:hAnsi="Times New Roman"/>
          <w:sz w:val="24"/>
          <w:szCs w:val="24"/>
          <w:lang w:eastAsia="zh-CN" w:bidi="hi-IN"/>
        </w:rPr>
        <w:t>Частина ризиків енергоефективних інвестиційних проєктів аналогічні тим, які характерні для будь-якого проєкту, інші носять більш специфічний характер.</w:t>
      </w:r>
    </w:p>
    <w:p>
      <w:pPr>
        <w:pStyle w:val="Normal"/>
        <w:spacing w:before="0" w:after="0"/>
        <w:ind w:firstLine="567"/>
        <w:jc w:val="both"/>
        <w:rPr>
          <w:color w:val="000000"/>
        </w:rPr>
      </w:pPr>
      <w:r>
        <w:rPr>
          <w:rFonts w:ascii="Times New Roman" w:hAnsi="Times New Roman"/>
          <w:color w:val="000000"/>
          <w:sz w:val="24"/>
          <w:szCs w:val="24"/>
          <w:lang w:eastAsia="zh-CN" w:bidi="hi-IN"/>
        </w:rPr>
        <w:t xml:space="preserve">Чотири основні етапи реалізації проєкту містять в собі його ініціювання, планування, реалізацію та закриття. На успіх кожного етапу реалізації проєкту впливають загальні умови роботи: економічні, нормативні та політичні. </w:t>
      </w:r>
    </w:p>
    <w:p>
      <w:pPr>
        <w:pStyle w:val="Normal"/>
        <w:spacing w:before="0" w:after="0"/>
        <w:ind w:firstLine="567"/>
        <w:jc w:val="both"/>
        <w:rPr>
          <w:color w:val="000000"/>
        </w:rPr>
      </w:pPr>
      <w:r>
        <w:rPr>
          <w:rFonts w:ascii="Times New Roman" w:hAnsi="Times New Roman"/>
          <w:color w:val="000000"/>
          <w:sz w:val="24"/>
          <w:szCs w:val="24"/>
          <w:lang w:eastAsia="zh-CN" w:bidi="hi-IN"/>
        </w:rPr>
        <w:t>Оцінка ризиків передбачає виявлення та оцінку можливих загроз, які можуть виникати в процесі реалізації МЕП, а також розробку стратегій для їх зменшення та мінімізації негативного впливу. Це важливо для забезпечення стабільності та успіху реалізації проєктів.</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Виходячи з цього, варто розглядати три групи ризиків, що можуть супроводжувати реалізацію заходів МЕП:</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1. Ризики, пов'язані з розробкою проєкту.</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2. Технічні ризики.</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3. Ризики економічні та політичні умови (в т. ч. державна та місцева регуляторна політика).</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 xml:space="preserve">1. Мінімізація ризиків, що належать до першої групи містять в собі наступні заходи: </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нормативне та юридичне забезпечення можливості участі іноземних партнерів в реалізації проєкту;</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погодження центральних органів влади;</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отримання дозволів на землекористування, будівельні роботи, водопостачання та водовідведення, видалення (утилізацію) сміття тощо;</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отримання санкцій, дозволів та інших погоджень, необхідних для остаточного оформлення фінансування.</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2. Для запобігання негативного впливу факторів з другої групи ризиків на реалізацію МЕП варто розробити чіткі алгоритми наступних заходів:</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порушення графіка будівельних робіт;</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перевищення встановленого рівня витрат;</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збільшення витратної частини, менша продуктивність;</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lang w:eastAsia="zh-CN" w:bidi="hi-IN"/>
        </w:rPr>
        <w:t>3. Заходи, що спрямовані на мінімізацію ризиків третьої групи, містять в собі:</w:t>
      </w:r>
    </w:p>
    <w:p>
      <w:pPr>
        <w:pStyle w:val="Normal"/>
        <w:spacing w:before="0" w:after="0"/>
        <w:ind w:firstLine="567"/>
        <w:jc w:val="both"/>
        <w:rPr>
          <w:color w:val="000000"/>
          <w:shd w:fill="FFFFFF" w:val="clear"/>
        </w:rPr>
      </w:pPr>
      <w:r>
        <w:rPr>
          <w:rFonts w:eastAsia="TimesNewRomanPSMT" w:cs="Times New Roman" w:ascii="Times New Roman" w:hAnsi="Times New Roman"/>
          <w:color w:val="000000"/>
          <w:kern w:val="2"/>
          <w:sz w:val="24"/>
          <w:szCs w:val="24"/>
          <w:shd w:fill="FFFFFF" w:val="clear"/>
          <w:lang w:eastAsia="zh-CN" w:bidi="hi-IN"/>
        </w:rPr>
        <w:t>економічні, що регулюють, або правові та політичні чинники в сукупності становлять умови, в яких здійснюється розробка, будівництво та експлуатація проєктів підвищення енергетичної ефективності;</w:t>
      </w:r>
    </w:p>
    <w:p>
      <w:pPr>
        <w:pStyle w:val="Normal"/>
        <w:spacing w:before="0" w:after="0"/>
        <w:ind w:firstLine="567"/>
        <w:jc w:val="both"/>
        <w:rPr>
          <w:color w:val="000000"/>
        </w:rPr>
      </w:pPr>
      <w:r>
        <w:rPr>
          <w:rFonts w:eastAsia="TimesNewRomanPSMT" w:cs="Times New Roman" w:ascii="Times New Roman" w:hAnsi="Times New Roman"/>
          <w:color w:val="000000"/>
          <w:kern w:val="2"/>
          <w:sz w:val="24"/>
          <w:szCs w:val="24"/>
          <w:shd w:fill="FFFFFF" w:val="clear"/>
          <w:lang w:eastAsia="zh-CN" w:bidi="hi-IN"/>
        </w:rPr>
        <w:t>валютні ризики можуть мати істотне значення для цілого ряду проєктів підвищення енергетичної ефективності, оскільки вони зачіпають ті з них, які передбачають імпорт обладнання та матеріалів і повинні передбачати достатні кошти в іноземній валюті для його оплати.</w:t>
      </w:r>
    </w:p>
    <w:p>
      <w:pPr>
        <w:pStyle w:val="111"/>
        <w:numPr>
          <w:ilvl w:val="0"/>
          <w:numId w:val="4"/>
        </w:numPr>
        <w:spacing w:before="0" w:after="0"/>
        <w:ind w:firstLine="567" w:start="0"/>
        <w:jc w:val="both"/>
        <w:rPr/>
      </w:pPr>
      <w:bookmarkStart w:id="62" w:name="__RefHeading___Toc27568_429042107"/>
      <w:bookmarkStart w:id="63" w:name="_Toc188020980"/>
      <w:bookmarkEnd w:id="62"/>
      <w:r>
        <w:rPr>
          <w:rFonts w:cs="Times New Roman" w:ascii="Times New Roman" w:hAnsi="Times New Roman"/>
          <w:b/>
          <w:bCs/>
          <w:color w:val="auto"/>
          <w:sz w:val="24"/>
          <w:szCs w:val="24"/>
        </w:rPr>
        <w:t>Моніторинг виконання МЕП</w:t>
      </w:r>
      <w:bookmarkEnd w:id="63"/>
    </w:p>
    <w:p>
      <w:pPr>
        <w:pStyle w:val="Normal"/>
        <w:spacing w:before="0" w:after="0"/>
        <w:ind w:firstLine="567"/>
        <w:jc w:val="both"/>
        <w:rPr/>
      </w:pPr>
      <w:r>
        <w:rPr>
          <w:rFonts w:eastAsia="TimesNewRomanPSMT" w:cs="Times New Roman" w:ascii="Times New Roman" w:hAnsi="Times New Roman"/>
          <w:kern w:val="2"/>
          <w:sz w:val="24"/>
          <w:szCs w:val="24"/>
          <w:lang w:eastAsia="zh-CN" w:bidi="hi-IN"/>
        </w:rPr>
        <w:t>Моніторинг МЕП здійснюється щороку з метою оцінки досягнення встановлених цілей та індикативних показників, забезпечення їх сталості, оцінки необхідності внесення змін до МЕП для його вдосконалення та вчасного уникнення помилок, уточнення базової лінії та сценарію сталого енергетичного розвитку.</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До процесу моніторингу залучаються представники зацікавлених сторін у сфері сталого енергетичного розвитку, зокрема асоціацій та громадських об’єднань, інших юридичних осіб (за згодою їх керівників) та фізичні особи (за згодою).</w:t>
      </w:r>
    </w:p>
    <w:p>
      <w:pPr>
        <w:pStyle w:val="Normal"/>
        <w:spacing w:before="0" w:after="0"/>
        <w:ind w:firstLine="567"/>
        <w:contextualSpacing/>
        <w:jc w:val="both"/>
        <w:rPr/>
      </w:pPr>
      <w:r>
        <w:rPr>
          <w:rFonts w:eastAsia="TimesNewRomanPSMT" w:cs="Times New Roman" w:ascii="Times New Roman" w:hAnsi="Times New Roman"/>
          <w:kern w:val="2"/>
          <w:sz w:val="24"/>
          <w:szCs w:val="24"/>
          <w:lang w:eastAsia="zh-CN" w:bidi="hi-IN"/>
        </w:rPr>
        <w:t xml:space="preserve">Один раз на рік за результатами проведення моніторингу виконання МЕП складається звіт про його реалізацію (далі </w:t>
      </w:r>
      <w:r>
        <w:rPr>
          <w:rFonts w:eastAsia="TimesNewRomanPSMT" w:cs="Times New Roman" w:ascii="Times New Roman" w:hAnsi="Times New Roman"/>
          <w:color w:val="000000"/>
          <w:kern w:val="2"/>
          <w:sz w:val="24"/>
          <w:szCs w:val="24"/>
          <w:lang w:eastAsia="zh-CN" w:bidi="hi-IN"/>
        </w:rPr>
        <w:t>–</w:t>
      </w:r>
      <w:r>
        <w:rPr>
          <w:rFonts w:eastAsia="TimesNewRomanPSMT" w:cs="Times New Roman" w:ascii="Times New Roman" w:hAnsi="Times New Roman"/>
          <w:kern w:val="2"/>
          <w:sz w:val="24"/>
          <w:szCs w:val="24"/>
          <w:lang w:eastAsia="zh-CN" w:bidi="hi-IN"/>
        </w:rPr>
        <w:t xml:space="preserve"> річний звіт) за формою згідно з </w:t>
      </w:r>
      <w:r>
        <w:fldChar w:fldCharType="begin"/>
      </w:r>
      <w:r>
        <w:rPr>
          <w:sz w:val="24"/>
          <w:kern w:val="2"/>
          <w:szCs w:val="24"/>
          <w:rFonts w:eastAsia="TimesNewRomanPSMT" w:cs="Times New Roman" w:ascii="Times New Roman" w:hAnsi="Times New Roman"/>
          <w:lang w:eastAsia="zh-CN" w:bidi="hi-IN"/>
        </w:rPr>
        <w:instrText xml:space="preserve"> HYPERLINK "https://zakon.rada.gov.ua/laws/show/z0245-24" \l "n545"</w:instrText>
      </w:r>
      <w:r>
        <w:rPr>
          <w:sz w:val="24"/>
          <w:kern w:val="2"/>
          <w:szCs w:val="24"/>
          <w:rFonts w:eastAsia="TimesNewRomanPSMT" w:cs="Times New Roman" w:ascii="Times New Roman" w:hAnsi="Times New Roman"/>
          <w:lang w:eastAsia="zh-CN" w:bidi="hi-IN"/>
        </w:rPr>
        <w:fldChar w:fldCharType="separate"/>
      </w:r>
      <w:r>
        <w:rPr>
          <w:rFonts w:eastAsia="TimesNewRomanPSMT" w:cs="Times New Roman" w:ascii="Times New Roman" w:hAnsi="Times New Roman"/>
          <w:kern w:val="2"/>
          <w:sz w:val="24"/>
          <w:szCs w:val="24"/>
          <w:lang w:eastAsia="zh-CN" w:bidi="hi-IN"/>
        </w:rPr>
        <w:t>додатком 5</w:t>
      </w:r>
      <w:r>
        <w:rPr>
          <w:sz w:val="24"/>
          <w:kern w:val="2"/>
          <w:szCs w:val="24"/>
          <w:rFonts w:eastAsia="TimesNewRomanPSMT" w:cs="Times New Roman" w:ascii="Times New Roman" w:hAnsi="Times New Roman"/>
          <w:lang w:eastAsia="zh-CN" w:bidi="hi-IN"/>
        </w:rPr>
        <w:fldChar w:fldCharType="end"/>
      </w:r>
      <w:r>
        <w:rPr>
          <w:rFonts w:eastAsia="TimesNewRomanPSMT" w:cs="Times New Roman" w:ascii="Times New Roman" w:hAnsi="Times New Roman"/>
          <w:kern w:val="2"/>
          <w:sz w:val="24"/>
          <w:szCs w:val="24"/>
          <w:lang w:eastAsia="zh-CN" w:bidi="hi-IN"/>
        </w:rPr>
        <w:t xml:space="preserve"> до Методики розроблення місцевих енергетичних планів, затвердженої наказом Міністерства розвитку громад, територій та інфраструктури України від 21.12.2023 № 1163 (далі </w:t>
      </w:r>
      <w:r>
        <w:rPr>
          <w:rFonts w:eastAsia="TimesNewRomanPSMT" w:cs="Times New Roman" w:ascii="Times New Roman" w:hAnsi="Times New Roman"/>
          <w:color w:val="000000"/>
          <w:kern w:val="2"/>
          <w:sz w:val="24"/>
          <w:szCs w:val="24"/>
          <w:lang w:eastAsia="zh-CN" w:bidi="hi-IN"/>
        </w:rPr>
        <w:t>–</w:t>
      </w:r>
      <w:r>
        <w:rPr>
          <w:rFonts w:eastAsia="TimesNewRomanPSMT" w:cs="Times New Roman" w:ascii="Times New Roman" w:hAnsi="Times New Roman"/>
          <w:kern w:val="2"/>
          <w:sz w:val="24"/>
          <w:szCs w:val="24"/>
          <w:lang w:eastAsia="zh-CN" w:bidi="hi-IN"/>
        </w:rPr>
        <w:t xml:space="preserve"> Методика).     </w:t>
      </w:r>
    </w:p>
    <w:p>
      <w:pPr>
        <w:pStyle w:val="Normal"/>
        <w:spacing w:before="0" w:after="0"/>
        <w:ind w:firstLine="567"/>
        <w:contextualSpacing/>
        <w:jc w:val="both"/>
        <w:rPr/>
      </w:pPr>
      <w:r>
        <w:rPr>
          <w:rFonts w:eastAsia="TimesNewRomanPSMT" w:cs="Times New Roman" w:ascii="Times New Roman" w:hAnsi="Times New Roman"/>
          <w:color w:val="000000"/>
          <w:kern w:val="2"/>
          <w:sz w:val="24"/>
          <w:szCs w:val="24"/>
          <w:shd w:fill="FFFFFF" w:val="clear"/>
          <w:lang w:eastAsia="zh-CN" w:bidi="hi-IN"/>
        </w:rPr>
        <w:t>Рішення про затвердження річного звіту приймається на сесії міської ради та оприлюднюються на офіційному вебсайті.</w:t>
      </w:r>
    </w:p>
    <w:p>
      <w:pPr>
        <w:pStyle w:val="Normal"/>
        <w:spacing w:before="0" w:after="0"/>
        <w:ind w:firstLine="567"/>
        <w:contextualSpacing/>
        <w:jc w:val="both"/>
        <w:rPr/>
      </w:pPr>
      <w:r>
        <w:rPr>
          <w:rFonts w:eastAsia="TimesNewRomanPSMT" w:cs="Times New Roman" w:ascii="Times New Roman" w:hAnsi="Times New Roman"/>
          <w:color w:val="000000"/>
          <w:kern w:val="2"/>
          <w:sz w:val="24"/>
          <w:szCs w:val="24"/>
          <w:shd w:fill="FFFFFF" w:val="clear"/>
          <w:lang w:eastAsia="zh-CN" w:bidi="hi-IN"/>
        </w:rPr>
        <w:t>Щороку до 5 квітня за формою згідно з додатком 5 до Методики:</w:t>
      </w:r>
    </w:p>
    <w:p>
      <w:pPr>
        <w:pStyle w:val="Normal"/>
        <w:spacing w:before="0" w:after="0"/>
        <w:ind w:firstLine="567"/>
        <w:contextualSpacing/>
        <w:jc w:val="both"/>
        <w:rPr/>
      </w:pPr>
      <w:bookmarkStart w:id="64" w:name="n526"/>
      <w:bookmarkEnd w:id="64"/>
      <w:r>
        <w:rPr>
          <w:rFonts w:eastAsia="TimesNewRomanPSMT" w:cs="Times New Roman" w:ascii="Times New Roman" w:hAnsi="Times New Roman"/>
          <w:color w:val="000000"/>
          <w:kern w:val="2"/>
          <w:sz w:val="24"/>
          <w:szCs w:val="24"/>
          <w:shd w:fill="FFFFFF" w:val="clear"/>
          <w:lang w:eastAsia="zh-CN" w:bidi="hi-IN"/>
        </w:rPr>
        <w:t>виконавчі органи міської ради подають до відповідних обласних державних адміністрацій інформацію, що міститься в затверджених річних звітах;</w:t>
      </w:r>
    </w:p>
    <w:p>
      <w:pPr>
        <w:pStyle w:val="Normal"/>
        <w:spacing w:before="0" w:after="0"/>
        <w:ind w:firstLine="567"/>
        <w:contextualSpacing/>
        <w:jc w:val="both"/>
        <w:rPr/>
      </w:pPr>
      <w:bookmarkStart w:id="65" w:name="n528"/>
      <w:bookmarkEnd w:id="65"/>
      <w:r>
        <w:rPr>
          <w:rFonts w:eastAsia="TimesNewRomanPSMT" w:cs="Times New Roman" w:ascii="Times New Roman" w:hAnsi="Times New Roman"/>
          <w:color w:val="000000"/>
          <w:kern w:val="2"/>
          <w:sz w:val="24"/>
          <w:szCs w:val="24"/>
          <w:shd w:fill="FFFFFF" w:val="clear"/>
          <w:lang w:eastAsia="zh-CN" w:bidi="hi-IN"/>
        </w:rPr>
        <w:t>обласна державна адміністрація подає до Держенергоефективності інформацію, що міститься в затверджених річних звітах про виконання регіонального енергетичного плану.</w:t>
      </w:r>
    </w:p>
    <w:p>
      <w:pPr>
        <w:pStyle w:val="Normal"/>
        <w:spacing w:before="0" w:after="0"/>
        <w:ind w:firstLine="567"/>
        <w:contextualSpacing/>
        <w:jc w:val="both"/>
        <w:rPr/>
      </w:pPr>
      <w:bookmarkStart w:id="66" w:name="n529"/>
      <w:bookmarkEnd w:id="66"/>
      <w:r>
        <w:rPr>
          <w:rFonts w:eastAsia="TimesNewRomanPSMT" w:cs="Times New Roman" w:ascii="Times New Roman" w:hAnsi="Times New Roman"/>
          <w:color w:val="000000"/>
          <w:kern w:val="2"/>
          <w:sz w:val="24"/>
          <w:szCs w:val="24"/>
          <w:shd w:fill="FFFFFF" w:val="clear"/>
          <w:lang w:eastAsia="zh-CN" w:bidi="hi-IN"/>
        </w:rPr>
        <w:t>Щороку до 20 квітня обласна державна адміністрація узагальнює інформацію, що міститься у річних звітах затверджених міською радою та подає до Держенергоефективності зведений звіт про реалізацію місцевого енергетичного плану на території області за формою згідно з </w:t>
      </w:r>
      <w:r>
        <w:fldChar w:fldCharType="begin"/>
      </w:r>
      <w:r>
        <w:rPr>
          <w:sz w:val="24"/>
          <w:kern w:val="2"/>
          <w:shd w:fill="FFFFFF" w:val="clear"/>
          <w:szCs w:val="24"/>
          <w:rFonts w:eastAsia="TimesNewRomanPSMT" w:cs="Times New Roman" w:ascii="Times New Roman" w:hAnsi="Times New Roman"/>
          <w:color w:val="000000"/>
          <w:lang w:eastAsia="zh-CN" w:bidi="hi-IN"/>
        </w:rPr>
        <w:instrText xml:space="preserve"> HYPERLINK "https://zakon.rada.gov.ua/laws/show/z0245-24" \l "n547"</w:instrText>
      </w:r>
      <w:r>
        <w:rPr>
          <w:sz w:val="24"/>
          <w:kern w:val="2"/>
          <w:shd w:fill="FFFFFF" w:val="clear"/>
          <w:szCs w:val="24"/>
          <w:rFonts w:eastAsia="TimesNewRomanPSMT" w:cs="Times New Roman" w:ascii="Times New Roman" w:hAnsi="Times New Roman"/>
          <w:color w:val="000000"/>
          <w:lang w:eastAsia="zh-CN" w:bidi="hi-IN"/>
        </w:rPr>
        <w:fldChar w:fldCharType="separate"/>
      </w:r>
      <w:r>
        <w:rPr>
          <w:rFonts w:eastAsia="TimesNewRomanPSMT" w:cs="Times New Roman" w:ascii="Times New Roman" w:hAnsi="Times New Roman"/>
          <w:color w:val="000000"/>
          <w:kern w:val="2"/>
          <w:sz w:val="24"/>
          <w:szCs w:val="24"/>
          <w:shd w:fill="FFFFFF" w:val="clear"/>
          <w:lang w:eastAsia="zh-CN" w:bidi="hi-IN"/>
        </w:rPr>
        <w:t>додатком 6</w:t>
      </w:r>
      <w:r>
        <w:rPr>
          <w:sz w:val="24"/>
          <w:kern w:val="2"/>
          <w:shd w:fill="FFFFFF" w:val="clear"/>
          <w:szCs w:val="24"/>
          <w:rFonts w:eastAsia="TimesNewRomanPSMT" w:cs="Times New Roman" w:ascii="Times New Roman" w:hAnsi="Times New Roman"/>
          <w:color w:val="000000"/>
          <w:lang w:eastAsia="zh-CN" w:bidi="hi-IN"/>
        </w:rPr>
        <w:fldChar w:fldCharType="end"/>
      </w:r>
      <w:r>
        <w:rPr>
          <w:rFonts w:eastAsia="TimesNewRomanPSMT" w:cs="Times New Roman" w:ascii="Times New Roman" w:hAnsi="Times New Roman"/>
          <w:color w:val="000000"/>
          <w:kern w:val="2"/>
          <w:sz w:val="24"/>
          <w:szCs w:val="24"/>
          <w:shd w:fill="FFFFFF" w:val="clear"/>
          <w:lang w:eastAsia="zh-CN" w:bidi="hi-IN"/>
        </w:rPr>
        <w:t> до Методики.</w:t>
      </w:r>
    </w:p>
    <w:p>
      <w:pPr>
        <w:pStyle w:val="Normal"/>
        <w:spacing w:before="0" w:after="0"/>
        <w:ind w:firstLine="567"/>
        <w:contextualSpacing/>
        <w:jc w:val="both"/>
        <w:rPr/>
      </w:pPr>
      <w:bookmarkStart w:id="67" w:name="n530"/>
      <w:bookmarkEnd w:id="67"/>
      <w:r>
        <w:rPr>
          <w:rFonts w:eastAsia="TimesNewRomanPSMT" w:cs="Times New Roman" w:ascii="Times New Roman" w:hAnsi="Times New Roman"/>
          <w:color w:val="000000"/>
          <w:kern w:val="2"/>
          <w:sz w:val="24"/>
          <w:szCs w:val="24"/>
          <w:shd w:fill="FFFFFF" w:val="clear"/>
          <w:lang w:eastAsia="zh-CN" w:bidi="hi-IN"/>
        </w:rPr>
        <w:t>Виконавчі органи міської ради забезпечують внесення до національної системи моніторингу енергоефективності (за наявності такої системи) інформації, що міститься в затверджених річних звітах, у строки визначені Методикою.</w:t>
      </w:r>
    </w:p>
    <w:p>
      <w:pPr>
        <w:pStyle w:val="Normal"/>
        <w:spacing w:before="0" w:after="0"/>
        <w:ind w:firstLine="567"/>
        <w:contextualSpacing/>
        <w:jc w:val="both"/>
        <w:rPr/>
      </w:pPr>
      <w:r>
        <w:rPr>
          <w:rFonts w:eastAsia="TimesNewRomanPSMT" w:cs="Times New Roman" w:ascii="Times New Roman" w:hAnsi="Times New Roman"/>
          <w:color w:val="000000"/>
          <w:kern w:val="2"/>
          <w:sz w:val="24"/>
          <w:szCs w:val="24"/>
          <w:shd w:fill="FFFFFF" w:val="clear"/>
          <w:lang w:eastAsia="zh-CN" w:bidi="hi-IN"/>
        </w:rPr>
        <w:t>Моніторинг муніципальних енергетичних планів здійснюється з використанням національної системи моніторингу енергоефективності (за наявності такої системи) відповідно до вимог Методики.</w:t>
      </w:r>
    </w:p>
    <w:p>
      <w:pPr>
        <w:pStyle w:val="111"/>
        <w:ind w:firstLine="567"/>
        <w:rPr>
          <w:sz w:val="24"/>
          <w:szCs w:val="24"/>
        </w:rPr>
      </w:pPr>
      <w:r>
        <w:rPr>
          <w:sz w:val="24"/>
          <w:szCs w:val="24"/>
        </w:rPr>
      </w:r>
      <w:r>
        <w:br w:type="page"/>
      </w:r>
    </w:p>
    <w:p>
      <w:pPr>
        <w:pStyle w:val="111"/>
        <w:spacing w:before="0" w:after="0"/>
        <w:ind w:firstLine="567"/>
        <w:rPr/>
      </w:pPr>
      <w:bookmarkStart w:id="68" w:name="__RefHeading___Toc27570_429042107"/>
      <w:bookmarkStart w:id="69" w:name="_Toc188020981"/>
      <w:bookmarkStart w:id="70" w:name="n404"/>
      <w:bookmarkEnd w:id="68"/>
      <w:bookmarkEnd w:id="70"/>
      <w:r>
        <w:rPr>
          <w:rFonts w:cs="Times New Roman" w:ascii="Times New Roman" w:hAnsi="Times New Roman"/>
          <w:b/>
          <w:bCs/>
          <w:color w:val="auto"/>
          <w:sz w:val="24"/>
          <w:szCs w:val="24"/>
        </w:rPr>
        <w:t>Розділ 6. Очікувані результати виконання муніципального енергетичного плану</w:t>
      </w:r>
      <w:bookmarkEnd w:id="69"/>
    </w:p>
    <w:p>
      <w:pPr>
        <w:pStyle w:val="Normal"/>
        <w:keepNext w:val="true"/>
        <w:widowControl w:val="false"/>
        <w:tabs>
          <w:tab w:val="clear" w:pos="708"/>
          <w:tab w:val="right" w:pos="6350" w:leader="none"/>
        </w:tabs>
        <w:spacing w:lineRule="auto" w:line="252" w:before="113" w:after="57"/>
        <w:jc w:val="center"/>
        <w:textAlignment w:val="center"/>
        <w:rPr/>
      </w:pPr>
      <w:r>
        <w:rPr>
          <w:rFonts w:eastAsia="Times New Roman" w:cs="Times New Roman" w:ascii="Times New Roman" w:hAnsi="Times New Roman"/>
          <w:b/>
          <w:bCs/>
          <w:color w:val="000000"/>
          <w:sz w:val="24"/>
          <w:szCs w:val="24"/>
          <w:lang w:eastAsia="uk-UA"/>
        </w:rPr>
        <w:t>Таблиця 6.1. Прогнозоване кінцеве (річне) споживання енергії</w:t>
      </w:r>
    </w:p>
    <w:tbl>
      <w:tblPr>
        <w:tblW w:w="9870" w:type="dxa"/>
        <w:jc w:val="start"/>
        <w:tblInd w:w="109" w:type="dxa"/>
        <w:tblLayout w:type="fixed"/>
        <w:tblCellMar>
          <w:top w:w="57" w:type="dxa"/>
          <w:start w:w="57" w:type="dxa"/>
          <w:bottom w:w="71" w:type="dxa"/>
          <w:end w:w="57" w:type="dxa"/>
        </w:tblCellMar>
        <w:tblLook w:firstRow="1" w:noVBand="1" w:lastRow="0" w:firstColumn="1" w:lastColumn="0" w:noHBand="0" w:val="04a0"/>
      </w:tblPr>
      <w:tblGrid>
        <w:gridCol w:w="2010"/>
        <w:gridCol w:w="1413"/>
        <w:gridCol w:w="1075"/>
        <w:gridCol w:w="1121"/>
        <w:gridCol w:w="1063"/>
        <w:gridCol w:w="1107"/>
        <w:gridCol w:w="1082"/>
        <w:gridCol w:w="997"/>
      </w:tblGrid>
      <w:tr>
        <w:trPr/>
        <w:tc>
          <w:tcPr>
            <w:tcW w:w="201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Обов’язкові сектори</w:t>
            </w:r>
          </w:p>
        </w:tc>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Одиниці вимірювання</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2025</w:t>
            </w:r>
          </w:p>
        </w:tc>
        <w:tc>
          <w:tcPr>
            <w:tcW w:w="1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2026</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2027</w:t>
            </w:r>
          </w:p>
        </w:tc>
        <w:tc>
          <w:tcPr>
            <w:tcW w:w="110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2028</w:t>
            </w:r>
          </w:p>
        </w:tc>
        <w:tc>
          <w:tcPr>
            <w:tcW w:w="108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2029</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2030</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Громадські (муніципальні) будівлі</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100084,0</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100052,9</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100021,7</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99990,6</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99959,4</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99928,3</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Житлові будівлі</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1146435,3</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1113395,0</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1080354,7</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1047314,3</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1014274,0</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981233,6</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Сфера теплопостачання</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123350,0</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119552,0</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115753,9</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111955,9</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108157,9</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104359,8</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Сфера водопостачання і водовідведення</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16114,2</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15471,3</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14828,5</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14185,7</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13542,8</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12900,0</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Сфера управління побутовими відходами</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6554,6</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6043,3</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5531,9</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5020,6</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4509,2</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3997,9</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Зовнішнє освітлення</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3894,5</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3857,2</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3819,9</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3782,6</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3745,3</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3708,0</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Громадський транспорт</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38649,7</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38426,8</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38203,9</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37981,0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37758,1</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37535,2</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Всього</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1435082,4</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1396798,5</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1358514,6</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1320230,7</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1281946,8</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1243662,8</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Інші сектори</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ascii="Times New Roman" w:hAnsi="Times New Roman"/>
                <w:sz w:val="20"/>
                <w:szCs w:val="20"/>
              </w:rPr>
              <w:t>МВт</w:t>
            </w:r>
            <w:r>
              <w:rPr>
                <w:rFonts w:cs="Cambria Math" w:ascii="Times New Roman" w:hAnsi="Times New Roman"/>
                <w:sz w:val="20"/>
                <w:szCs w:val="20"/>
              </w:rPr>
              <w:t>⋅</w:t>
            </w:r>
            <w:r>
              <w:rPr>
                <w:rFonts w:ascii="Times New Roman" w:hAnsi="Times New Roman"/>
                <w:sz w:val="20"/>
                <w:szCs w:val="20"/>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rFonts w:ascii="Times New Roman" w:hAnsi="Times New Roman"/>
                <w:sz w:val="20"/>
                <w:szCs w:val="20"/>
              </w:rPr>
            </w:pPr>
            <w:r>
              <w:rPr>
                <w:rFonts w:ascii="Times New Roman" w:hAnsi="Times New Roman"/>
                <w:sz w:val="20"/>
                <w:szCs w:val="20"/>
              </w:rPr>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Муніципальний транспорт</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5262,8</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5167,0</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5071,1</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4975,2</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4879,3</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4783,4</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Приватний та комерційний транспорт</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227828,7</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223182,2</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218535,8</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213889,4</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209242,9</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204596,5</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Третинні будівлі, обладнання/ об'єкти</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573061,4</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525988,0</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478914,6</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431841,3</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384767,9</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337694,5</w:t>
            </w:r>
          </w:p>
        </w:tc>
      </w:tr>
      <w:tr>
        <w:trPr/>
        <w:tc>
          <w:tcPr>
            <w:tcW w:w="2010"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Місцеве виробництво електроенергії з ВДЕ</w:t>
            </w:r>
          </w:p>
        </w:tc>
        <w:tc>
          <w:tcPr>
            <w:tcW w:w="1413"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0,0</w:t>
            </w:r>
          </w:p>
        </w:tc>
        <w:tc>
          <w:tcPr>
            <w:tcW w:w="1121"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0,0</w:t>
            </w:r>
          </w:p>
        </w:tc>
        <w:tc>
          <w:tcPr>
            <w:tcW w:w="1063"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0,0</w:t>
            </w:r>
          </w:p>
        </w:tc>
        <w:tc>
          <w:tcPr>
            <w:tcW w:w="1107"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0,0</w:t>
            </w:r>
          </w:p>
        </w:tc>
        <w:tc>
          <w:tcPr>
            <w:tcW w:w="1082"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0,0</w:t>
            </w:r>
          </w:p>
        </w:tc>
        <w:tc>
          <w:tcPr>
            <w:tcW w:w="997" w:type="dxa"/>
            <w:tcBorders>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0,0</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Всього</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806152,9</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754337,2</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702521,5</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650705,8</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598890,1</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jc w:val="center"/>
              <w:rPr/>
            </w:pPr>
            <w:r>
              <w:rPr>
                <w:rFonts w:ascii="Times New Roman" w:hAnsi="Times New Roman"/>
                <w:color w:val="000000"/>
                <w:sz w:val="20"/>
                <w:szCs w:val="20"/>
              </w:rPr>
              <w:t>547074,4</w:t>
            </w:r>
          </w:p>
        </w:tc>
      </w:tr>
      <w:tr>
        <w:trPr/>
        <w:tc>
          <w:tcPr>
            <w:tcW w:w="20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ЗАГАЛОМ</w:t>
            </w:r>
          </w:p>
        </w:tc>
        <w:tc>
          <w:tcPr>
            <w:tcW w:w="141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rFonts w:ascii="Times New Roman" w:hAnsi="Times New Roman"/>
                <w:sz w:val="20"/>
                <w:szCs w:val="20"/>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2241235,3</w:t>
            </w:r>
          </w:p>
        </w:tc>
        <w:tc>
          <w:tcPr>
            <w:tcW w:w="112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2151135,7</w:t>
            </w:r>
          </w:p>
        </w:tc>
        <w:tc>
          <w:tcPr>
            <w:tcW w:w="106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2061036,1</w:t>
            </w:r>
          </w:p>
        </w:tc>
        <w:tc>
          <w:tcPr>
            <w:tcW w:w="11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1970936,5</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1880836,9</w:t>
            </w:r>
          </w:p>
        </w:tc>
        <w:tc>
          <w:tcPr>
            <w:tcW w:w="99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spacing w:before="0" w:after="0"/>
              <w:jc w:val="center"/>
              <w:rPr/>
            </w:pPr>
            <w:r>
              <w:rPr>
                <w:rFonts w:ascii="Times New Roman" w:hAnsi="Times New Roman"/>
                <w:color w:val="000000"/>
                <w:sz w:val="20"/>
                <w:szCs w:val="20"/>
              </w:rPr>
              <w:t>1790737,3</w:t>
            </w:r>
          </w:p>
        </w:tc>
      </w:tr>
    </w:tbl>
    <w:p>
      <w:pPr>
        <w:pStyle w:val="Normal"/>
        <w:widowControl w:val="false"/>
        <w:tabs>
          <w:tab w:val="clear" w:pos="708"/>
          <w:tab w:val="right" w:pos="7710" w:leader="none"/>
          <w:tab w:val="right" w:pos="11514" w:leader="none"/>
        </w:tabs>
        <w:spacing w:lineRule="auto" w:line="252" w:before="0" w:after="0"/>
        <w:ind w:firstLine="283"/>
        <w:jc w:val="both"/>
        <w:textAlignment w:val="center"/>
        <w:rPr>
          <w:rFonts w:ascii="Times New Roman" w:hAnsi="Times New Roman" w:eastAsia="Times New Roman" w:cs="Times New Roman"/>
          <w:color w:val="000000"/>
          <w:sz w:val="24"/>
          <w:szCs w:val="24"/>
          <w:lang w:eastAsia="uk-UA"/>
        </w:rPr>
      </w:pPr>
      <w:r>
        <w:rPr>
          <w:rFonts w:eastAsia="Times New Roman" w:cs="Times New Roman" w:ascii="Times New Roman" w:hAnsi="Times New Roman"/>
          <w:color w:val="000000"/>
          <w:sz w:val="24"/>
          <w:szCs w:val="24"/>
          <w:lang w:eastAsia="uk-UA"/>
        </w:rPr>
      </w:r>
    </w:p>
    <w:p>
      <w:pPr>
        <w:pStyle w:val="Normal"/>
        <w:keepNext w:val="true"/>
        <w:widowControl w:val="false"/>
        <w:tabs>
          <w:tab w:val="clear" w:pos="708"/>
          <w:tab w:val="right" w:pos="6350" w:leader="none"/>
        </w:tabs>
        <w:spacing w:lineRule="auto" w:line="252" w:before="113" w:after="57"/>
        <w:jc w:val="center"/>
        <w:textAlignment w:val="center"/>
        <w:rPr/>
      </w:pPr>
      <w:r>
        <w:rPr>
          <w:rFonts w:eastAsia="Times New Roman" w:cs="Times New Roman" w:ascii="Times New Roman" w:hAnsi="Times New Roman"/>
          <w:b/>
          <w:bCs/>
          <w:color w:val="000000"/>
          <w:sz w:val="24"/>
          <w:szCs w:val="24"/>
          <w:lang w:eastAsia="uk-UA"/>
        </w:rPr>
        <w:t>Таблиця 6.2. Щорічні індикативні показники підвищення енергоефективності</w:t>
      </w:r>
      <w:r>
        <w:rPr>
          <w:rFonts w:eastAsia="Times New Roman" w:cs="Times New Roman" w:ascii="Times New Roman" w:hAnsi="Times New Roman"/>
          <w:b/>
          <w:bCs/>
          <w:color w:val="000000"/>
          <w:sz w:val="24"/>
          <w:szCs w:val="24"/>
          <w:lang w:val="en-US" w:eastAsia="uk-UA"/>
        </w:rPr>
        <w:t>*</w:t>
      </w:r>
    </w:p>
    <w:tbl>
      <w:tblPr>
        <w:tblW w:w="9829" w:type="dxa"/>
        <w:jc w:val="start"/>
        <w:tblInd w:w="173" w:type="dxa"/>
        <w:tblLayout w:type="fixed"/>
        <w:tblCellMar>
          <w:top w:w="57" w:type="dxa"/>
          <w:start w:w="57" w:type="dxa"/>
          <w:bottom w:w="71" w:type="dxa"/>
          <w:end w:w="57" w:type="dxa"/>
        </w:tblCellMar>
        <w:tblLook w:firstRow="1" w:noVBand="1" w:lastRow="0" w:firstColumn="1" w:lastColumn="0" w:noHBand="0" w:val="04a0"/>
      </w:tblPr>
      <w:tblGrid>
        <w:gridCol w:w="1944"/>
        <w:gridCol w:w="1411"/>
        <w:gridCol w:w="1076"/>
        <w:gridCol w:w="1089"/>
        <w:gridCol w:w="1091"/>
        <w:gridCol w:w="1110"/>
        <w:gridCol w:w="1099"/>
        <w:gridCol w:w="1007"/>
      </w:tblGrid>
      <w:tr>
        <w:trPr/>
        <w:tc>
          <w:tcPr>
            <w:tcW w:w="194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Назва сектора</w:t>
            </w:r>
          </w:p>
        </w:tc>
        <w:tc>
          <w:tcPr>
            <w:tcW w:w="141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Одиниці вимірювання</w:t>
            </w:r>
          </w:p>
        </w:tc>
        <w:tc>
          <w:tcPr>
            <w:tcW w:w="10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2025</w:t>
            </w:r>
          </w:p>
        </w:tc>
        <w:tc>
          <w:tcPr>
            <w:tcW w:w="108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2026</w:t>
            </w:r>
          </w:p>
        </w:tc>
        <w:tc>
          <w:tcPr>
            <w:tcW w:w="10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2027</w:t>
            </w:r>
          </w:p>
        </w:tc>
        <w:tc>
          <w:tcPr>
            <w:tcW w:w="111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2028</w:t>
            </w:r>
          </w:p>
        </w:tc>
        <w:tc>
          <w:tcPr>
            <w:tcW w:w="109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2029</w:t>
            </w:r>
          </w:p>
        </w:tc>
        <w:tc>
          <w:tcPr>
            <w:tcW w:w="100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2030</w:t>
            </w:r>
          </w:p>
        </w:tc>
      </w:tr>
      <w:tr>
        <w:trPr/>
        <w:tc>
          <w:tcPr>
            <w:tcW w:w="194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Обов’язкові сектори</w:t>
            </w:r>
          </w:p>
        </w:tc>
        <w:tc>
          <w:tcPr>
            <w:tcW w:w="1411"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76"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89"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91"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110"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99"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07"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Громадські (муніципальні) будівлі</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31,15</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62,30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93,50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124,60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155,80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186,90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0,03</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0,06</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0,09</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0,12</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0,16</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0,19</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Житлові будівлі</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40000,00</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80000,00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120000,00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160000,00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200000,00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240000,00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4,08</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8,15</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12,23</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16,31</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20,38</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24,46</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Сфера теплопостачання</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3798,03</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7596,10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11394,10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15192,10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18990,20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22788,20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3,64</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7,28</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10,92</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14,56</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18,20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21,84</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Сфера водопостачання і водовідведення</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1263,33</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2526,70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3790,00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5053,30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6316,70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7580,00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9,79</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19,59</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29,38</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39,17</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48,97</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58,76</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Сфера управління побутовими відходами</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Зовнішнє освітлення</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Громадський транспорт</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224,52</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449,00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673,60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898,10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1122,60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1347,10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0,60</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1,79</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2,39</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2,99</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3,59</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Всього</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45317,04</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90634,08</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135951,12</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181268,16</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226585,21</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271902,25</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18,14</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36,28</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54,42</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72,55</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90,69</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108,83</w:t>
            </w:r>
          </w:p>
        </w:tc>
      </w:tr>
      <w:tr>
        <w:trPr/>
        <w:tc>
          <w:tcPr>
            <w:tcW w:w="1944"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Інші сектори</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rFonts w:ascii="Times New Roman" w:hAnsi="Times New Roman" w:eastAsia="Times New Roman" w:cs="Times New Roman"/>
                <w:color w:val="000000"/>
                <w:sz w:val="20"/>
                <w:szCs w:val="20"/>
                <w:lang w:eastAsia="uk-UA"/>
              </w:rPr>
            </w:pPr>
            <w:r>
              <w:rPr>
                <w:rFonts w:eastAsia="Times New Roman" w:cs="Times New Roman" w:ascii="Times New Roman" w:hAnsi="Times New Roman"/>
                <w:color w:val="000000"/>
                <w:sz w:val="20"/>
                <w:szCs w:val="20"/>
                <w:lang w:eastAsia="uk-UA"/>
              </w:rPr>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rPr/>
            </w:pPr>
            <w:r>
              <w:rPr>
                <w:rFonts w:ascii="Times New Roman" w:hAnsi="Times New Roman"/>
                <w:color w:val="000000"/>
                <w:sz w:val="20"/>
                <w:szCs w:val="20"/>
              </w:rPr>
              <w:t>Муніципальний транспорт</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133,33</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266,70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400,00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533,30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666,70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800,00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2,79</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5,57</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8,36</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11,15</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13,94</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16,72</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rPr/>
            </w:pPr>
            <w:r>
              <w:rPr>
                <w:rFonts w:ascii="Times New Roman" w:hAnsi="Times New Roman"/>
                <w:color w:val="000000"/>
                <w:sz w:val="20"/>
                <w:szCs w:val="20"/>
              </w:rPr>
              <w:t>Приватний та комерційний транспорт</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859,04</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1718,10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2577,10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3436,20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4295,20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5154,20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0,42</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0,84</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1,26</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1,68</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2,10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2,52</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rPr/>
            </w:pPr>
            <w:r>
              <w:rPr>
                <w:rFonts w:ascii="Times New Roman" w:hAnsi="Times New Roman"/>
                <w:color w:val="000000"/>
                <w:sz w:val="20"/>
                <w:szCs w:val="20"/>
              </w:rPr>
              <w:t>Третинні будівлі, обладнання/ об'єкти</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4458,82</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8917,60</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13376,50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17835,30</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22294,10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26752,90</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1,32</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2,64</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3,96</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5,28</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6,60</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7,92</w:t>
            </w:r>
          </w:p>
        </w:tc>
      </w:tr>
      <w:tr>
        <w:trPr/>
        <w:tc>
          <w:tcPr>
            <w:tcW w:w="1944" w:type="dxa"/>
            <w:vMerge w:val="restart"/>
            <w:tcBorders>
              <w:start w:val="single" w:sz="4" w:space="0" w:color="000000"/>
              <w:bottom w:val="single" w:sz="4" w:space="0" w:color="000000"/>
              <w:end w:val="single" w:sz="4" w:space="0" w:color="000000"/>
            </w:tcBorders>
            <w:tcMar>
              <w:top w:w="0" w:type="dxa"/>
              <w:start w:w="5" w:type="dxa"/>
              <w:bottom w:w="0" w:type="dxa"/>
              <w:end w:w="5" w:type="dxa"/>
            </w:tcMar>
          </w:tcPr>
          <w:p>
            <w:pPr>
              <w:pStyle w:val="Style25"/>
              <w:spacing w:before="0" w:after="0"/>
              <w:rPr/>
            </w:pPr>
            <w:r>
              <w:rPr>
                <w:rFonts w:ascii="Times New Roman" w:hAnsi="Times New Roman"/>
                <w:color w:val="000000"/>
                <w:sz w:val="20"/>
                <w:szCs w:val="20"/>
              </w:rPr>
              <w:t>Місцеве виробництво електроенергії з ВДЕ</w:t>
            </w:r>
          </w:p>
        </w:tc>
        <w:tc>
          <w:tcPr>
            <w:tcW w:w="1411"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89"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1"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110"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9"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07"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r>
      <w:tr>
        <w:trPr/>
        <w:tc>
          <w:tcPr>
            <w:tcW w:w="1944" w:type="dxa"/>
            <w:vMerge w:val="continue"/>
            <w:tcBorders>
              <w:start w:val="single" w:sz="4" w:space="0" w:color="000000"/>
              <w:bottom w:val="single" w:sz="4" w:space="0" w:color="000000"/>
              <w:end w:val="single" w:sz="4" w:space="0" w:color="000000"/>
            </w:tcBorders>
            <w:tcMar>
              <w:top w:w="0" w:type="dxa"/>
              <w:start w:w="5" w:type="dxa"/>
              <w:bottom w:w="0" w:type="dxa"/>
              <w:end w:w="5" w:type="dxa"/>
            </w:tcMar>
          </w:tcPr>
          <w:p>
            <w:pPr>
              <w:pStyle w:val="Style25"/>
              <w:spacing w:before="0" w:after="0"/>
              <w:rPr>
                <w:rFonts w:ascii="Times New Roman" w:hAnsi="Times New Roman"/>
                <w:color w:val="000000"/>
                <w:sz w:val="20"/>
                <w:szCs w:val="20"/>
              </w:rPr>
            </w:pPr>
            <w:r>
              <w:rPr>
                <w:rFonts w:ascii="Times New Roman" w:hAnsi="Times New Roman"/>
                <w:color w:val="000000"/>
                <w:sz w:val="20"/>
                <w:szCs w:val="20"/>
              </w:rPr>
            </w:r>
          </w:p>
        </w:tc>
        <w:tc>
          <w:tcPr>
            <w:tcW w:w="1411"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89"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1"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110"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99"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c>
          <w:tcPr>
            <w:tcW w:w="1007"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0,00</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Всього</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5451,19</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10902,38</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16353,57</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21804,76</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27255,95</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32707,14</w:t>
            </w:r>
          </w:p>
        </w:tc>
      </w:tr>
      <w:tr>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4,53</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9,06</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13,58</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18,11</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22,64</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27,17</w:t>
            </w:r>
          </w:p>
        </w:tc>
      </w:tr>
      <w:tr>
        <w:trPr/>
        <w:tc>
          <w:tcPr>
            <w:tcW w:w="1944"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ЗАГАЛОМ</w:t>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50768,23</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101536,46</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152304,69</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203072,92</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253841,16</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304609,39</w:t>
            </w:r>
          </w:p>
        </w:tc>
      </w:tr>
      <w:tr>
        <w:trPr>
          <w:trHeight w:val="245" w:hRule="atLeast"/>
        </w:trPr>
        <w:tc>
          <w:tcPr>
            <w:tcW w:w="1944"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1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6"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22,67</w:t>
            </w:r>
          </w:p>
        </w:tc>
        <w:tc>
          <w:tcPr>
            <w:tcW w:w="108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45,33</w:t>
            </w:r>
          </w:p>
        </w:tc>
        <w:tc>
          <w:tcPr>
            <w:tcW w:w="1091"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68,00</w:t>
            </w:r>
          </w:p>
        </w:tc>
        <w:tc>
          <w:tcPr>
            <w:tcW w:w="111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90,67</w:t>
            </w:r>
          </w:p>
        </w:tc>
        <w:tc>
          <w:tcPr>
            <w:tcW w:w="109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113,33</w:t>
            </w:r>
          </w:p>
        </w:tc>
        <w:tc>
          <w:tcPr>
            <w:tcW w:w="100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136,00</w:t>
            </w:r>
          </w:p>
        </w:tc>
      </w:tr>
    </w:tbl>
    <w:p>
      <w:pPr>
        <w:pStyle w:val="Normal"/>
        <w:widowControl w:val="false"/>
        <w:tabs>
          <w:tab w:val="clear" w:pos="708"/>
          <w:tab w:val="right" w:pos="7710" w:leader="none"/>
          <w:tab w:val="right" w:pos="11514" w:leader="none"/>
        </w:tabs>
        <w:spacing w:lineRule="auto" w:line="252" w:before="0" w:after="0"/>
        <w:ind w:firstLine="283"/>
        <w:jc w:val="both"/>
        <w:textAlignment w:val="center"/>
        <w:rPr>
          <w:rFonts w:ascii="Times New Roman" w:hAnsi="Times New Roman" w:eastAsia="Times New Roman" w:cs="Times New Roman"/>
          <w:color w:val="000000"/>
          <w:sz w:val="16"/>
          <w:szCs w:val="16"/>
          <w:lang w:val="en-US" w:eastAsia="uk-UA"/>
        </w:rPr>
      </w:pPr>
      <w:r>
        <w:rPr>
          <w:rFonts w:eastAsia="Times New Roman" w:cs="Times New Roman" w:ascii="Times New Roman" w:hAnsi="Times New Roman"/>
          <w:color w:val="000000"/>
          <w:sz w:val="16"/>
          <w:szCs w:val="16"/>
          <w:lang w:val="en-US" w:eastAsia="uk-UA"/>
        </w:rPr>
        <w:t xml:space="preserve">* </w:t>
      </w:r>
      <w:r>
        <w:rPr>
          <w:rFonts w:eastAsia="Times New Roman" w:cs="Times New Roman" w:ascii="Times New Roman" w:hAnsi="Times New Roman"/>
          <w:color w:val="000000"/>
          <w:sz w:val="16"/>
          <w:szCs w:val="16"/>
          <w:lang w:eastAsia="uk-UA"/>
        </w:rPr>
        <w:t xml:space="preserve">в таблиці наведені абсолютні значення зменшення кількості спожитих енергоресурсів у відповідних одиницях вимірювання </w:t>
      </w:r>
    </w:p>
    <w:p>
      <w:pPr>
        <w:pStyle w:val="Normal"/>
        <w:widowControl w:val="false"/>
        <w:tabs>
          <w:tab w:val="clear" w:pos="708"/>
          <w:tab w:val="right" w:pos="6350" w:leader="none"/>
        </w:tabs>
        <w:spacing w:lineRule="auto" w:line="252" w:before="113" w:after="57"/>
        <w:jc w:val="center"/>
        <w:textAlignment w:val="center"/>
        <w:rPr/>
      </w:pPr>
      <w:r>
        <w:rPr>
          <w:rFonts w:eastAsia="Times New Roman" w:cs="Times New Roman" w:ascii="Times New Roman" w:hAnsi="Times New Roman"/>
          <w:b/>
          <w:bCs/>
          <w:color w:val="000000"/>
          <w:sz w:val="24"/>
          <w:szCs w:val="24"/>
          <w:lang w:eastAsia="uk-UA"/>
        </w:rPr>
        <w:t xml:space="preserve">Таблиця 6.3. Щорічні індикативні показники підвищення </w:t>
        <w:br/>
        <w:t xml:space="preserve">частки відновлюваних джерел енергії в кінцевому споживанні* </w:t>
      </w:r>
    </w:p>
    <w:tbl>
      <w:tblPr>
        <w:tblW w:w="9865" w:type="dxa"/>
        <w:jc w:val="start"/>
        <w:tblInd w:w="109" w:type="dxa"/>
        <w:tblLayout w:type="fixed"/>
        <w:tblCellMar>
          <w:top w:w="57" w:type="dxa"/>
          <w:start w:w="57" w:type="dxa"/>
          <w:bottom w:w="71" w:type="dxa"/>
          <w:end w:w="57" w:type="dxa"/>
        </w:tblCellMar>
        <w:tblLook w:firstRow="1" w:noVBand="1" w:lastRow="0" w:firstColumn="1" w:lastColumn="0" w:noHBand="0" w:val="04a0"/>
      </w:tblPr>
      <w:tblGrid>
        <w:gridCol w:w="1973"/>
        <w:gridCol w:w="1439"/>
        <w:gridCol w:w="1072"/>
        <w:gridCol w:w="1077"/>
        <w:gridCol w:w="1090"/>
        <w:gridCol w:w="1125"/>
        <w:gridCol w:w="1082"/>
        <w:gridCol w:w="1005"/>
      </w:tblGrid>
      <w:tr>
        <w:trPr/>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Назва сектора</w:t>
            </w:r>
          </w:p>
        </w:tc>
        <w:tc>
          <w:tcPr>
            <w:tcW w:w="143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Одиниці вимірювання</w:t>
            </w:r>
          </w:p>
        </w:tc>
        <w:tc>
          <w:tcPr>
            <w:tcW w:w="107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2025</w:t>
            </w:r>
          </w:p>
        </w:tc>
        <w:tc>
          <w:tcPr>
            <w:tcW w:w="107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2026</w:t>
            </w:r>
          </w:p>
        </w:tc>
        <w:tc>
          <w:tcPr>
            <w:tcW w:w="109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2027</w:t>
            </w:r>
          </w:p>
        </w:tc>
        <w:tc>
          <w:tcPr>
            <w:tcW w:w="11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2028</w:t>
            </w:r>
          </w:p>
        </w:tc>
        <w:tc>
          <w:tcPr>
            <w:tcW w:w="108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2029</w:t>
            </w:r>
          </w:p>
        </w:tc>
        <w:tc>
          <w:tcPr>
            <w:tcW w:w="100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2030</w:t>
            </w:r>
          </w:p>
        </w:tc>
      </w:tr>
      <w:tr>
        <w:trPr/>
        <w:tc>
          <w:tcPr>
            <w:tcW w:w="19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right" w:pos="6350"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Обов’язкові сектори</w:t>
            </w:r>
          </w:p>
        </w:tc>
        <w:tc>
          <w:tcPr>
            <w:tcW w:w="1439"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72"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77"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90"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125"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82"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005"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Громадські (муніципальні) будівлі</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Житлові будівлі</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9707,0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19414,0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29121,0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38828,0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48535,0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58242,0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4,9</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5,9</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Сфера теплопостачання</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Сфера водопостачання і водовідведення</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Сфера управління побутовими відходами</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Зовнішнє освітлення</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Громадський транспорт</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Всього</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9707,0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19414,0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29121,0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38828,0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48535,0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58242,0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4,9</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5,9</w:t>
            </w:r>
          </w:p>
        </w:tc>
      </w:tr>
      <w:tr>
        <w:trPr/>
        <w:tc>
          <w:tcPr>
            <w:tcW w:w="1973"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Інші сектори</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spacing w:lineRule="auto" w:line="240" w:before="0" w:after="0"/>
              <w:rPr>
                <w:rFonts w:ascii="Times New Roman" w:hAnsi="Times New Roman" w:eastAsia="Times New Roman" w:cs="Times New Roman"/>
                <w:sz w:val="20"/>
                <w:szCs w:val="20"/>
                <w:lang w:eastAsia="uk-UA"/>
              </w:rPr>
            </w:pPr>
            <w:r>
              <w:rPr>
                <w:rFonts w:eastAsia="Times New Roman" w:cs="Times New Roman" w:ascii="Times New Roman" w:hAnsi="Times New Roman"/>
                <w:sz w:val="20"/>
                <w:szCs w:val="20"/>
                <w:lang w:eastAsia="uk-UA"/>
              </w:rPr>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rPr/>
            </w:pPr>
            <w:r>
              <w:rPr>
                <w:rFonts w:ascii="Times New Roman" w:hAnsi="Times New Roman"/>
                <w:color w:val="000000"/>
                <w:sz w:val="20"/>
                <w:szCs w:val="20"/>
              </w:rPr>
              <w:t>Муніципальний транспорт</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rPr/>
            </w:pPr>
            <w:r>
              <w:rPr>
                <w:rFonts w:ascii="Times New Roman" w:hAnsi="Times New Roman"/>
                <w:color w:val="000000"/>
                <w:sz w:val="20"/>
                <w:szCs w:val="20"/>
              </w:rPr>
              <w:t>Приватний та комерційний транспорт</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Style25"/>
              <w:spacing w:before="0" w:after="0"/>
              <w:rPr/>
            </w:pPr>
            <w:r>
              <w:rPr>
                <w:rFonts w:ascii="Times New Roman" w:hAnsi="Times New Roman"/>
                <w:color w:val="000000"/>
                <w:sz w:val="20"/>
                <w:szCs w:val="20"/>
              </w:rPr>
              <w:t>Третинні будівлі, обладнання/ об'єкти</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200,0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600,0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800,0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1000,0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1200,0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0,2</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0,2</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0,3</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0,4</w:t>
            </w:r>
          </w:p>
        </w:tc>
      </w:tr>
      <w:tr>
        <w:trPr/>
        <w:tc>
          <w:tcPr>
            <w:tcW w:w="1973" w:type="dxa"/>
            <w:vMerge w:val="restart"/>
            <w:tcBorders>
              <w:start w:val="single" w:sz="4" w:space="0" w:color="000000"/>
              <w:bottom w:val="single" w:sz="4" w:space="0" w:color="000000"/>
              <w:end w:val="single" w:sz="4" w:space="0" w:color="000000"/>
            </w:tcBorders>
            <w:tcMar>
              <w:top w:w="0" w:type="dxa"/>
              <w:start w:w="5" w:type="dxa"/>
              <w:bottom w:w="0" w:type="dxa"/>
              <w:end w:w="5" w:type="dxa"/>
            </w:tcMar>
          </w:tcPr>
          <w:p>
            <w:pPr>
              <w:pStyle w:val="Style25"/>
              <w:spacing w:before="0" w:after="0"/>
              <w:rPr/>
            </w:pPr>
            <w:r>
              <w:rPr>
                <w:rFonts w:ascii="Times New Roman" w:hAnsi="Times New Roman"/>
                <w:color w:val="000000"/>
                <w:sz w:val="20"/>
                <w:szCs w:val="20"/>
              </w:rPr>
              <w:t>Місцеве виробництво електроенергії з ВДЕ</w:t>
            </w:r>
          </w:p>
        </w:tc>
        <w:tc>
          <w:tcPr>
            <w:tcW w:w="1439"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1150,0</w:t>
            </w:r>
          </w:p>
        </w:tc>
        <w:tc>
          <w:tcPr>
            <w:tcW w:w="1077"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2300,0</w:t>
            </w:r>
          </w:p>
        </w:tc>
        <w:tc>
          <w:tcPr>
            <w:tcW w:w="1090"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3450,0</w:t>
            </w:r>
          </w:p>
        </w:tc>
        <w:tc>
          <w:tcPr>
            <w:tcW w:w="1125"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4600,0</w:t>
            </w:r>
          </w:p>
        </w:tc>
        <w:tc>
          <w:tcPr>
            <w:tcW w:w="1082"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5750,0</w:t>
            </w:r>
          </w:p>
        </w:tc>
        <w:tc>
          <w:tcPr>
            <w:tcW w:w="1005"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6900,0</w:t>
            </w:r>
          </w:p>
        </w:tc>
      </w:tr>
      <w:tr>
        <w:trPr/>
        <w:tc>
          <w:tcPr>
            <w:tcW w:w="1973" w:type="dxa"/>
            <w:vMerge w:val="continue"/>
            <w:tcBorders>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77"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90"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125"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82"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0,0</w:t>
            </w:r>
          </w:p>
        </w:tc>
        <w:tc>
          <w:tcPr>
            <w:tcW w:w="1005" w:type="dxa"/>
            <w:tcBorders>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textAlignment w:val="center"/>
              <w:rPr/>
            </w:pPr>
            <w:r>
              <w:rPr>
                <w:rFonts w:eastAsia="Times New Roman" w:cs="Times New Roman" w:ascii="Times New Roman" w:hAnsi="Times New Roman"/>
                <w:color w:val="000000"/>
                <w:sz w:val="20"/>
                <w:szCs w:val="20"/>
                <w:lang w:eastAsia="uk-UA"/>
              </w:rPr>
              <w:t>Всього</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1350,0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2700,0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4050,0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5400,0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6750,0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8100,0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0,1</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0,2</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0,2</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0,3</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0,4</w:t>
            </w:r>
          </w:p>
        </w:tc>
      </w:tr>
      <w:tr>
        <w:trPr/>
        <w:tc>
          <w:tcPr>
            <w:tcW w:w="1973" w:type="dxa"/>
            <w:vMerge w:val="restart"/>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vAlign w:val="cente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ЗАГАЛОМ</w:t>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МВт</w:t>
            </w:r>
            <w:r>
              <w:rPr>
                <w:rFonts w:eastAsia="Times New Roman" w:cs="Cambria Math" w:ascii="Times New Roman" w:hAnsi="Times New Roman"/>
                <w:color w:val="000000"/>
                <w:sz w:val="20"/>
                <w:szCs w:val="20"/>
                <w:lang w:eastAsia="uk-UA"/>
              </w:rPr>
              <w:t>⋅</w:t>
            </w:r>
            <w:r>
              <w:rPr>
                <w:rFonts w:eastAsia="Times New Roman" w:cs="Times New Roman" w:ascii="Times New Roman" w:hAnsi="Times New Roman"/>
                <w:color w:val="000000"/>
                <w:sz w:val="20"/>
                <w:szCs w:val="20"/>
                <w:lang w:eastAsia="uk-UA"/>
              </w:rPr>
              <w:t>год/рік</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11057,0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22114,0</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33171,0</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44228,0</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55285,0</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66342,0</w:t>
            </w:r>
          </w:p>
        </w:tc>
      </w:tr>
      <w:tr>
        <w:trPr/>
        <w:tc>
          <w:tcPr>
            <w:tcW w:w="1973" w:type="dxa"/>
            <w:vMerge w:val="continue"/>
            <w:tcBorders>
              <w:top w:val="single" w:sz="4" w:space="0" w:color="000000"/>
              <w:start w:val="single" w:sz="4" w:space="0" w:color="000000"/>
              <w:bottom w:val="single" w:sz="4" w:space="0" w:color="000000"/>
              <w:end w:val="single" w:sz="4" w:space="0" w:color="000000"/>
            </w:tcBorders>
            <w:tcMar>
              <w:top w:w="0" w:type="dxa"/>
              <w:start w:w="5" w:type="dxa"/>
              <w:bottom w:w="0" w:type="dxa"/>
              <w:end w:w="5" w:type="dxa"/>
            </w:tcMar>
          </w:tcPr>
          <w:p>
            <w:pPr>
              <w:pStyle w:val="Normal"/>
              <w:spacing w:before="0" w:after="0"/>
              <w:rPr>
                <w:rFonts w:ascii="Times New Roman" w:hAnsi="Times New Roman"/>
                <w:sz w:val="20"/>
                <w:szCs w:val="20"/>
              </w:rPr>
            </w:pPr>
            <w:r>
              <w:rPr>
                <w:rFonts w:ascii="Times New Roman" w:hAnsi="Times New Roman"/>
                <w:sz w:val="20"/>
                <w:szCs w:val="20"/>
              </w:rPr>
            </w:r>
          </w:p>
        </w:tc>
        <w:tc>
          <w:tcPr>
            <w:tcW w:w="1439"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Normal"/>
              <w:widowControl w:val="false"/>
              <w:tabs>
                <w:tab w:val="clear" w:pos="708"/>
                <w:tab w:val="right" w:pos="7767" w:leader="none"/>
              </w:tabs>
              <w:spacing w:lineRule="auto" w:line="252" w:before="0" w:after="0"/>
              <w:jc w:val="center"/>
              <w:textAlignment w:val="center"/>
              <w:rPr/>
            </w:pPr>
            <w:r>
              <w:rPr>
                <w:rFonts w:eastAsia="Times New Roman" w:cs="Times New Roman" w:ascii="Times New Roman" w:hAnsi="Times New Roman"/>
                <w:color w:val="000000"/>
                <w:sz w:val="20"/>
                <w:szCs w:val="20"/>
                <w:lang w:eastAsia="uk-UA"/>
              </w:rPr>
              <w:t>%</w:t>
            </w:r>
          </w:p>
        </w:tc>
        <w:tc>
          <w:tcPr>
            <w:tcW w:w="107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1,0</w:t>
            </w:r>
          </w:p>
        </w:tc>
        <w:tc>
          <w:tcPr>
            <w:tcW w:w="1077"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2,1</w:t>
            </w:r>
          </w:p>
        </w:tc>
        <w:tc>
          <w:tcPr>
            <w:tcW w:w="1090"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3,1</w:t>
            </w:r>
          </w:p>
        </w:tc>
        <w:tc>
          <w:tcPr>
            <w:tcW w:w="112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4,2</w:t>
            </w:r>
          </w:p>
        </w:tc>
        <w:tc>
          <w:tcPr>
            <w:tcW w:w="1082"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5,2</w:t>
            </w:r>
          </w:p>
        </w:tc>
        <w:tc>
          <w:tcPr>
            <w:tcW w:w="1005" w:type="dxa"/>
            <w:tcBorders>
              <w:top w:val="single" w:sz="4" w:space="0" w:color="000000"/>
              <w:start w:val="single" w:sz="4" w:space="0" w:color="000000"/>
              <w:bottom w:val="single" w:sz="4" w:space="0" w:color="000000"/>
              <w:end w:val="single" w:sz="4" w:space="0" w:color="000000"/>
            </w:tcBorders>
            <w:tcMar>
              <w:top w:w="68" w:type="dxa"/>
              <w:start w:w="68" w:type="dxa"/>
              <w:bottom w:w="68" w:type="dxa"/>
              <w:end w:w="68" w:type="dxa"/>
            </w:tcMar>
          </w:tcPr>
          <w:p>
            <w:pPr>
              <w:pStyle w:val="Style25"/>
              <w:spacing w:before="0" w:after="0"/>
              <w:jc w:val="center"/>
              <w:rPr/>
            </w:pPr>
            <w:r>
              <w:rPr>
                <w:rFonts w:ascii="Times New Roman" w:hAnsi="Times New Roman"/>
                <w:color w:val="000000"/>
                <w:sz w:val="20"/>
                <w:szCs w:val="20"/>
              </w:rPr>
              <w:t>6,3</w:t>
            </w:r>
          </w:p>
        </w:tc>
      </w:tr>
      <w:tr>
        <w:trPr/>
        <w:tc>
          <w:tcPr>
            <w:tcW w:w="9863" w:type="dxa"/>
            <w:gridSpan w:val="8"/>
            <w:tcBorders/>
            <w:tcMar>
              <w:top w:w="55" w:type="dxa"/>
              <w:start w:w="55" w:type="dxa"/>
              <w:bottom w:w="55" w:type="dxa"/>
              <w:end w:w="55" w:type="dxa"/>
            </w:tcMar>
          </w:tcPr>
          <w:p>
            <w:pPr>
              <w:pStyle w:val="Normal"/>
              <w:widowControl w:val="false"/>
              <w:tabs>
                <w:tab w:val="clear" w:pos="708"/>
                <w:tab w:val="right" w:pos="7710" w:leader="none"/>
                <w:tab w:val="right" w:pos="11514" w:leader="none"/>
              </w:tabs>
              <w:spacing w:lineRule="auto" w:line="252" w:before="0" w:after="0"/>
              <w:ind w:firstLine="283"/>
              <w:textAlignment w:val="center"/>
              <w:rPr>
                <w:rFonts w:ascii="Times New Roman" w:hAnsi="Times New Roman"/>
              </w:rPr>
            </w:pPr>
            <w:r>
              <w:rPr>
                <w:rFonts w:eastAsia="Times New Roman" w:cs="Times New Roman" w:ascii="Times New Roman" w:hAnsi="Times New Roman"/>
                <w:color w:val="000000"/>
                <w:sz w:val="16"/>
                <w:szCs w:val="16"/>
                <w:lang w:val="en-US" w:eastAsia="uk-UA"/>
              </w:rPr>
              <w:t xml:space="preserve">* </w:t>
            </w:r>
            <w:r>
              <w:rPr>
                <w:rFonts w:eastAsia="Times New Roman" w:cs="Times New Roman" w:ascii="Times New Roman" w:hAnsi="Times New Roman"/>
                <w:color w:val="000000"/>
                <w:sz w:val="16"/>
                <w:szCs w:val="16"/>
                <w:lang w:eastAsia="uk-UA"/>
              </w:rPr>
              <w:t>в таблиці наведені абсолютні значення зменшення кількості спожитих енергоресурсів у відповідних одиницях вимірювання</w:t>
            </w:r>
          </w:p>
        </w:tc>
      </w:tr>
    </w:tbl>
    <w:p>
      <w:pPr>
        <w:sectPr>
          <w:headerReference w:type="even" r:id="rId48"/>
          <w:headerReference w:type="default" r:id="rId49"/>
          <w:headerReference w:type="first" r:id="rId50"/>
          <w:footerReference w:type="even" r:id="rId51"/>
          <w:footerReference w:type="default" r:id="rId52"/>
          <w:footerReference w:type="first" r:id="rId53"/>
          <w:type w:val="nextPage"/>
          <w:pgSz w:w="11906" w:h="16838"/>
          <w:pgMar w:left="1701" w:right="560" w:gutter="0" w:header="0" w:top="1134" w:footer="0" w:bottom="1134"/>
          <w:pgNumType w:fmt="decimal"/>
          <w:formProt w:val="false"/>
          <w:textDirection w:val="lrTb"/>
          <w:docGrid w:type="default" w:linePitch="600" w:charSpace="151552"/>
        </w:sectPr>
      </w:pPr>
    </w:p>
    <w:p>
      <w:pPr>
        <w:pStyle w:val="111"/>
        <w:ind w:firstLine="567"/>
        <w:jc w:val="both"/>
        <w:rPr/>
      </w:pPr>
      <w:bookmarkStart w:id="71" w:name="__RefHeading___Toc27572_429042107"/>
      <w:bookmarkStart w:id="72" w:name="_Toc188020982"/>
      <w:bookmarkEnd w:id="71"/>
      <w:r>
        <w:rPr>
          <w:rFonts w:cs="Times New Roman" w:ascii="Times New Roman" w:hAnsi="Times New Roman"/>
          <w:b/>
          <w:bCs/>
          <w:color w:val="000000"/>
          <w:sz w:val="24"/>
          <w:szCs w:val="24"/>
        </w:rPr>
        <w:t>Додаток 1. Каталог проєктів сталого енергетичного розвитку Луцької МТГ</w:t>
      </w:r>
      <w:bookmarkEnd w:id="72"/>
    </w:p>
    <w:tbl>
      <w:tblPr>
        <w:tblW w:w="16110" w:type="dxa"/>
        <w:jc w:val="start"/>
        <w:tblInd w:w="13" w:type="dxa"/>
        <w:tblLayout w:type="fixed"/>
        <w:tblCellMar>
          <w:top w:w="55" w:type="dxa"/>
          <w:start w:w="55" w:type="dxa"/>
          <w:bottom w:w="55" w:type="dxa"/>
          <w:end w:w="55" w:type="dxa"/>
        </w:tblCellMar>
        <w:tblLook w:firstRow="1" w:noVBand="1" w:lastRow="0" w:firstColumn="1" w:lastColumn="0" w:noHBand="0" w:val="04a0"/>
      </w:tblPr>
      <w:tblGrid>
        <w:gridCol w:w="449"/>
        <w:gridCol w:w="1935"/>
        <w:gridCol w:w="3286"/>
        <w:gridCol w:w="1081"/>
        <w:gridCol w:w="1244"/>
        <w:gridCol w:w="1079"/>
        <w:gridCol w:w="1695"/>
        <w:gridCol w:w="1350"/>
        <w:gridCol w:w="1081"/>
        <w:gridCol w:w="915"/>
        <w:gridCol w:w="1078"/>
        <w:gridCol w:w="916"/>
      </w:tblGrid>
      <w:tr>
        <w:trPr/>
        <w:tc>
          <w:tcPr>
            <w:tcW w:w="449"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w:t>
            </w:r>
          </w:p>
        </w:tc>
        <w:tc>
          <w:tcPr>
            <w:tcW w:w="1935"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Назва заходу</w:t>
            </w:r>
          </w:p>
        </w:tc>
        <w:tc>
          <w:tcPr>
            <w:tcW w:w="3286"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Опис заходу</w:t>
            </w:r>
          </w:p>
        </w:tc>
        <w:tc>
          <w:tcPr>
            <w:tcW w:w="1081" w:type="dxa"/>
            <w:vMerge w:val="restart"/>
            <w:tcBorders>
              <w:top w:val="single" w:sz="4" w:space="0" w:color="000000"/>
              <w:start w:val="single" w:sz="4" w:space="0" w:color="000000"/>
              <w:bottom w:val="single" w:sz="4" w:space="0" w:color="000000"/>
              <w:end w:val="single" w:sz="4" w:space="0" w:color="000000"/>
            </w:tcBorders>
          </w:tcPr>
          <w:p>
            <w:pPr>
              <w:pStyle w:val="Normal"/>
              <w:tabs>
                <w:tab w:val="clear" w:pos="708"/>
                <w:tab w:val="left" w:pos="195" w:leader="none"/>
              </w:tabs>
              <w:spacing w:lineRule="auto" w:line="240" w:before="0" w:after="0"/>
              <w:jc w:val="center"/>
              <w:rPr/>
            </w:pPr>
            <w:r>
              <w:rPr>
                <w:rFonts w:ascii="Times New Roman" w:hAnsi="Times New Roman"/>
                <w:sz w:val="20"/>
                <w:szCs w:val="20"/>
              </w:rPr>
              <w:t>Фінансове джерело</w:t>
            </w:r>
          </w:p>
        </w:tc>
        <w:tc>
          <w:tcPr>
            <w:tcW w:w="1244"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Відповідальний орган</w:t>
            </w:r>
          </w:p>
        </w:tc>
        <w:tc>
          <w:tcPr>
            <w:tcW w:w="1079" w:type="dxa"/>
            <w:vMerge w:val="restart"/>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Загальна вартість заходу, тис. грн.</w:t>
            </w:r>
          </w:p>
        </w:tc>
        <w:tc>
          <w:tcPr>
            <w:tcW w:w="4126" w:type="dxa"/>
            <w:gridSpan w:val="3"/>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Заплановані показники</w:t>
            </w:r>
          </w:p>
        </w:tc>
        <w:tc>
          <w:tcPr>
            <w:tcW w:w="1993"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Терміни виконання</w:t>
            </w:r>
          </w:p>
        </w:tc>
        <w:tc>
          <w:tcPr>
            <w:tcW w:w="9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Статус реалізації</w:t>
            </w:r>
          </w:p>
        </w:tc>
      </w:tr>
      <w:tr>
        <w:trPr/>
        <w:tc>
          <w:tcPr>
            <w:tcW w:w="449"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935"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3286"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81"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44"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vMerge w:val="continue"/>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Заплановане скорочення енергоспоживання, МВт.год.рік</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Виробництво відновлювальної енергії, МВт.год.рік</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Зменшення викидів СО</w:t>
            </w:r>
            <w:r>
              <w:rPr>
                <w:rFonts w:ascii="Times New Roman" w:hAnsi="Times New Roman"/>
                <w:sz w:val="20"/>
                <w:szCs w:val="20"/>
                <w:vertAlign w:val="subscript"/>
              </w:rPr>
              <w:t>2</w:t>
            </w:r>
            <w:r>
              <w:rPr>
                <w:rFonts w:ascii="Times New Roman" w:hAnsi="Times New Roman"/>
                <w:sz w:val="20"/>
                <w:szCs w:val="20"/>
              </w:rPr>
              <w:t>, т/рік</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Початок, рік</w:t>
            </w:r>
          </w:p>
        </w:tc>
        <w:tc>
          <w:tcPr>
            <w:tcW w:w="10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Закінчення, рік</w:t>
            </w:r>
          </w:p>
        </w:tc>
        <w:tc>
          <w:tcPr>
            <w:tcW w:w="9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3</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4</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5</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6</w:t>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7</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8</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9</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10</w:t>
            </w:r>
          </w:p>
        </w:tc>
        <w:tc>
          <w:tcPr>
            <w:tcW w:w="10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11</w:t>
            </w:r>
          </w:p>
        </w:tc>
        <w:tc>
          <w:tcPr>
            <w:tcW w:w="91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12</w:t>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rPr/>
            </w:pPr>
            <w:r>
              <w:rPr>
                <w:rFonts w:ascii="Times New Roman" w:hAnsi="Times New Roman"/>
                <w:sz w:val="20"/>
                <w:szCs w:val="20"/>
              </w:rPr>
              <w:t>1. Муніципальні будівлі</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1.1.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комунального закладу «Луцька загальноосвітня школа І-ІІІ ступенів № 13» (корпус 2) на вул. Чернишевського, 29 в м. Луцьку Волинської області</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має на меті:  добудову окремого корпусу на 360 учнів до школи № 13, який включає спортивний зал з допоміжними приміщеннями, актовий зал на 210 осіб, їдальню з обіднім залом на 200 осіб; - проведення заходів з енергоефективності в наявному корпусі № 2: утеплення фасаду, утеплення горища, заміна даху. Передбачено протирадіаційне укриття на 800 осіб. Заплановано заходи: утеплення фундаментів пінополістирольними плитами; цоколя – мінераловатними плитами; зовнішніх стін – мінераловатними плитами з подальшим штукатуренням; дах – металопрофіль по дерев'яній кроквяній системі з латами.</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Європейський інвестиційний банк, ПРООН</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Виконавчі органи міської ради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144795,5</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112,9</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33,7</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1.2.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Створення багатофункціонального простору для бізнесу в місті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Багатофункціональний простір для бізнесу створюється шляхом реставрації комунального приміщення колишнього кінотеатру «Батьківщина» на вул. П’ятницька гірка, 2, площею 1711,1 м</w:t>
            </w:r>
            <w:r>
              <w:rPr>
                <w:rFonts w:ascii="Times New Roman" w:hAnsi="Times New Roman"/>
                <w:sz w:val="20"/>
                <w:szCs w:val="20"/>
                <w:vertAlign w:val="superscript"/>
              </w:rPr>
              <w:t>2</w:t>
            </w:r>
            <w:r>
              <w:rPr>
                <w:rFonts w:ascii="Times New Roman" w:hAnsi="Times New Roman"/>
                <w:sz w:val="20"/>
                <w:szCs w:val="20"/>
              </w:rPr>
              <w:t>. Реставрація зазначеного об’єкта включає:</w:t>
              <w:br/>
              <w:t>утеплення стін, цоколю та даху, заміна вікон та дверей;</w:t>
              <w:br/>
              <w:t>озеленення та облаштування прилеглої території. Опалення електричне.</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Програма розвитку Організації Об’єднаних Націй, уряд Німеччини та GIZ</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Виконавчі органи міської ради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64260,0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74,0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22,1</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Муніципальні будівлі</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209055,5</w:t>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186,9</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55,7</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2. Сфера водопостачання та водовідведення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Модернізація насосного обладнання на об’єктах водоканалу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сучасного насосного обладнання на заміну застарілого, з вичерпаним терміном використання на об'єктах водоканалу</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3350,0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2144,0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Впровадження системи автоматизації управління та диспетчеризації технологічним процесом 1-го, 2-го та 3-го підйомів води</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вузлів оперативного обліку води та електроенергії, встановлення та налагодження системи контролю зі спеціалізованим програмним забезпеченням для віддалених об’єктів із безпровідним GPRS-зв’язком, для інформаційної підтримки об’єктів системи розподілення постачання води, і сенсорною системою, що збирає інформацію про насосні об’єкти на місцях та відсилає її до пункту центрального управління через GPRS-зв’язок</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5430,0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211,2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2.3.</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трансформаторної підстанції ТП № 345 (КНС № 2) в м.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Модернізація технологічного обладнання підстанції, які відпрацювали нормативний термін (ТП введена в експлуатацію у 1982 році)</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11125,6</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45,0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28,8</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2.4.</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РУ-10 кВ і РУ-0,4 кВ на КНС-4</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Заміна РУ-10 кВ і РУ-0,4 кВ протяжністю 2,5 км</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6360,0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19,2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не починалося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2.5.</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КНС для перекачування промивних вод Дубнівського водозабору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КНС для перекачування промивних вод Дубнівського водозабору</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місцевий бюджет, 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18041,8</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16,0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проводиться ІІI етап будівництва</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2.6.</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біогазової установки для компенсації власного споживання електричної енергії</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біогазової установки для компенсації власного споживання електричної енергії з комплексом для виробництва  з осаду стічних вод добрива органічного «LWC» на очисних спорудах КП «Луцькводоканал»</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кошти Європейського інвестиційного банку, власні кошти підприємства</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2331</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2028</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2.7.</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Реконструкція очисних споруд каналізації міста Луцька</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Комплексна модернізація технології видалення відходів зі стічних вод,  модернізація системи мулового господарства із впровадженням технології перероблення мулу, реконструкція бетонних об’єктів, споруд та трубопроводів ОСК тощо</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кошти Європейського інвестиційного банку</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3800,0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2432,0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5221"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Сфера водопостачання та водовідведення</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40957,4</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7580,0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7182,2</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3. Третинні будівлі</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3.1.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Популяризація енергоефективності і її використання ВДЕ серед представників бізнесу, комерції, вищих навчальних закладів тощо</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Популяризація енергоефективності і використання ВДЕ серед представників бізнесу, комерції, вищих навчальних закладів тощо: проведення інформаційних заходів, підготовка та публікація інформаційних матеріалів</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інші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Департамент економічної політики, департамент житлово-комунального господарства</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26752,9</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1200,0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8740,4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Третинні будівлі</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26752,9</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1200,0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8740,4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4. Житлові будівлі</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4.1.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Термомодернізація (пакет Б) та виконання окремих енергоефективних заходів (Пакет А) у житлових багатоквартирних будинках ОСББ за державною програмою «Енергодім»,  встановлення СЕС та теплових насосів за державною програмою «Гріндім»; надання фінансової підтримки та відшкодування частини суми кредитів для ОСББ з бюджету громади Луцької МТГ</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Термомодернізація (пакет Б) та виконання окремих енергоефективних заходів (Пакет А) у житлових багатоквартирних будинках ОСББ за державною програмою «Енергодім»,  встановлення СЕС та теплових насосів за державною програмою «Гріндім»; надання фінансової підтримки та відшкодування частини суми кредитів для ОСББ з бюджету громади Луцької МТГ</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власні кошти мешканців будинків, державні кошти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житлово-комунального господарства, ОСББ, Фонд енергоефективності</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3305000,0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240000,0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360,0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71750,4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Житлові будівлі</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3305000,0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240000,0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360,0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71750,4</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5. Транспорт</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Заміна авто та спецтранспорту КП «Луцькводоканал»</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Оновлення автомобільного парку підприємства, чий нормативний термін експлуатації яких перевищений</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власні кошти КП «Луцькводоканал»</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КП «Луцькводоканал»</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800,0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214,4</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Оновлення тролейбусного парку м. Луцька</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передбачає придбання 30 одиниць нових сучасних низькопідлогових тролейбусів, з яких 24 – без автономного ходу; 6 – з повноцінним автономним ходом.</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Бюджет громади, ЄІБ</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економічної політики, КП «Луцьке підприємство електротранспорту»</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329992,0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1250,0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800,0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5.3.</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Оновлення інфраструктури електротранспорту міста Луцька Волинської області</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Оптимізація контактної мережі шляхом будівництва частини тролейбусної лінії, яка з’єднає мікрорайон підшипникового заводу з вул. Львівською, модернізація поворотних стрілок, встановлення додаткового обладнання</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Бюджет громади, ЄІБ</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економічної політики, КП «Луцьке підприємство електротранспорту»</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6370,1</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97,1</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62,2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5.4.</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заїзних кишень для зупинки громадського пасажирського транспорту на маршрутах загального користування</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заїзних кишень для зупинки громадського пасажирського транспорту на маршрутах загального користування</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житлово-комунального господарства</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262,0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70,2</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5.5.</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Створення та розвиток велосипедної інфраструктури в м.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Створення та розвиток велосипедної інфраструктури в м. Луцьку</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інші кошти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Департамент житлово-комунального господарства</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170000,0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4892,3</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1311,1</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транспорт</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561362,1</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7301,4</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2457,9</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jc w:val="both"/>
              <w:rPr/>
            </w:pPr>
            <w:r>
              <w:rPr>
                <w:rFonts w:ascii="Times New Roman" w:hAnsi="Times New Roman"/>
                <w:sz w:val="20"/>
                <w:szCs w:val="20"/>
              </w:rPr>
              <w:t>6. Сфера теплопостачання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Технічне переоснащення котельні зі встановлення твердопаливних котлів</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твердопаливних котлів</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 міська рада, ДКП Луцьктепло, ENERTEX SARL</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20538,00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4148,68</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модернізації системи централізованого теплопостачання (друга фаза) у м. Луцьку в рамках програми RLF</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Проєктом передбачена заміна 22,6 км зношених теплових мереж, будівництво твердопаливної котельні, встановлення теплових насосів, влаштування системи моніторингу та дистанційного управління SCADA. На цей час триває відбір фінансового та технічного консультантів.</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 міська рада, ДКП Луцьктепло, ЄБРР</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681694,0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14734,2</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37344,03</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10592,80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6.3.</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Конденсаційна рекуперація тепла з димових газів–Луцьк 5 МВт</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Встановлення конденсаційного теплообмінника з теплою потужністю приблизно 0,74 МВт. на твердопаливному котлі (потужність котла 5 МВт), який має бути адаптованим для використання тепла димових газів з урахуванням потоку теплоносія у «зворотному» трубопроводі мережі теплопостачання; запровадження конкретних заходів для підвищення енергоефективності в житлових та громадських будівлях, які підключено до мережевого централізованого теплопостачання</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 міська рада, ДКП Луцьктепло, НЕФКО</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21710,0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5057,0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1097,00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6.4.</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Проєкт реконструкції системи централізованого теплопостачання у м. Луцьку</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Основні заходи проєкту: 1. Встановлення котла на альтернативному паливі. 2. Ліквідація неефективних підвальних та прибудинкових котелень з їх подальшим перепідключенням. 3. Заміна застарілих котлів. 4. Встановлення близько 200 індивідуальних теплових пунктів у житлових будівлях завокзального району міста. 5. Заміна пальників наявних котлів. 6.  Встановлення нових насосних агрегатів з частотним регулюванням. 7. Переобладнання центральних теплових пунктів із заміною теплообмінників. 8. Заміна квартальних мереж на попередньо ізольовані. 9. Встановлення системи автоматичного збору даних та диспетчерського управління (SCADA).</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кредити, гранти, позики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Європейський банк реконструкції та розвитку, Фонд Е5Р</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712088,0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2997,0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30218,00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Загалом Місцеве виробництво тепла/холоду</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1416492,0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22788,2</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57882,0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46056,5</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vAlign w:val="bottom"/>
          </w:tcPr>
          <w:p>
            <w:pPr>
              <w:pStyle w:val="Normal"/>
              <w:spacing w:lineRule="auto" w:line="240" w:before="0" w:after="0"/>
              <w:rPr/>
            </w:pPr>
            <w:r>
              <w:rPr>
                <w:rFonts w:ascii="Times New Roman" w:hAnsi="Times New Roman"/>
                <w:sz w:val="20"/>
                <w:szCs w:val="20"/>
              </w:rPr>
              <w:t>7. Генерація, постачання та розподіл електроенергії</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7.1.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Будівництво комунальних СЕС для комерційного виробництва електроенергії</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Будівництво комунальної СЕС для комерційного виробництва електроенергії</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Місцевий бюджет, інші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Комунальні підприємства Луцької міської ради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25500,0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900,0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576,0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не починалося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7.2.</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Побудова комерційних приватних СЕС та ВЕС</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Побудова комерційних приватних СЕС (сонячних електростанцій) та ВЕС (вітрових електростанцій)</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Приватні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Приватні інвестори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170000,0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6000,0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3840,0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2028</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не починалося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Загалом генерація, постачання та розподіл електроенергії</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195500,0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6900,0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4416,0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6109" w:type="dxa"/>
            <w:gridSpan w:val="12"/>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8. Поводження з твердими побутовими відходами</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8.1.</w:t>
            </w:r>
          </w:p>
        </w:tc>
        <w:tc>
          <w:tcPr>
            <w:tcW w:w="193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Удосконалення системи поводження з ТПВ</w:t>
            </w:r>
          </w:p>
        </w:tc>
        <w:tc>
          <w:tcPr>
            <w:tcW w:w="328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both"/>
              <w:rPr/>
            </w:pPr>
            <w:r>
              <w:rPr>
                <w:rFonts w:ascii="Times New Roman" w:hAnsi="Times New Roman"/>
                <w:sz w:val="20"/>
                <w:szCs w:val="20"/>
              </w:rPr>
              <w:t>Удосконалення системи поводження з ТПВ та впровадження роздільного збору побутових відходів лінії (співфінансування з міського бюджету — 50%, інші джерела 50 % — 1,0 млн грн)</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Бюджет громади, власні кошти</w:t>
            </w:r>
          </w:p>
        </w:tc>
        <w:tc>
          <w:tcPr>
            <w:tcW w:w="12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ЛСКАП «Луцькспецкомунтранс»</w:t>
            </w:r>
          </w:p>
        </w:tc>
        <w:tc>
          <w:tcPr>
            <w:tcW w:w="107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1000,0</w:t>
            </w:r>
          </w:p>
        </w:tc>
        <w:tc>
          <w:tcPr>
            <w:tcW w:w="169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222</w:t>
            </w:r>
          </w:p>
        </w:tc>
        <w:tc>
          <w:tcPr>
            <w:tcW w:w="91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2025</w:t>
            </w:r>
          </w:p>
        </w:tc>
        <w:tc>
          <w:tcPr>
            <w:tcW w:w="107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2030</w:t>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 стадії виконання</w:t>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Загалом Поводження з твердими побутовими відходами</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1000,0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222,0</w:t>
            </w:r>
          </w:p>
        </w:tc>
        <w:tc>
          <w:tcPr>
            <w:tcW w:w="290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44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sz w:val="20"/>
                <w:szCs w:val="20"/>
              </w:rPr>
            </w:pPr>
            <w:r>
              <w:rPr>
                <w:rFonts w:ascii="Times New Roman" w:hAnsi="Times New Roman"/>
                <w:sz w:val="20"/>
                <w:szCs w:val="20"/>
              </w:rPr>
            </w:r>
          </w:p>
        </w:tc>
        <w:tc>
          <w:tcPr>
            <w:tcW w:w="7546" w:type="dxa"/>
            <w:gridSpan w:val="4"/>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Times New Roman" w:hAnsi="Times New Roman"/>
                <w:sz w:val="20"/>
                <w:szCs w:val="20"/>
              </w:rPr>
              <w:t>Всього</w:t>
            </w:r>
          </w:p>
        </w:tc>
        <w:tc>
          <w:tcPr>
            <w:tcW w:w="107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5729517,0</w:t>
            </w:r>
          </w:p>
        </w:tc>
        <w:tc>
          <w:tcPr>
            <w:tcW w:w="169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304609,4</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66342,0</w:t>
            </w:r>
          </w:p>
        </w:tc>
        <w:tc>
          <w:tcPr>
            <w:tcW w:w="108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140881,0</w:t>
            </w:r>
          </w:p>
        </w:tc>
        <w:tc>
          <w:tcPr>
            <w:tcW w:w="9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0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91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bl>
    <w:p>
      <w:pPr>
        <w:sectPr>
          <w:headerReference w:type="even" r:id="rId54"/>
          <w:headerReference w:type="default" r:id="rId55"/>
          <w:headerReference w:type="first" r:id="rId56"/>
          <w:footerReference w:type="even" r:id="rId57"/>
          <w:footerReference w:type="default" r:id="rId58"/>
          <w:footerReference w:type="first" r:id="rId59"/>
          <w:type w:val="nextPage"/>
          <w:pgSz w:orient="landscape" w:w="16838" w:h="11906"/>
          <w:pgMar w:left="480" w:right="1134" w:gutter="0" w:header="0" w:top="1134" w:footer="0" w:bottom="1134"/>
          <w:pgNumType w:fmt="decimal"/>
          <w:formProt w:val="false"/>
          <w:textDirection w:val="lrTb"/>
          <w:docGrid w:type="default" w:linePitch="100" w:charSpace="16384"/>
        </w:sectPr>
      </w:pPr>
      <w:r>
        <w:br w:type="page"/>
      </w:r>
    </w:p>
    <w:p>
      <w:pPr>
        <w:pStyle w:val="111"/>
        <w:spacing w:before="0" w:after="0"/>
        <w:ind w:firstLine="567"/>
        <w:jc w:val="center"/>
        <w:rPr/>
      </w:pPr>
      <w:bookmarkStart w:id="73" w:name="__RefHeading___Toc27574_429042107"/>
      <w:bookmarkStart w:id="74" w:name="_Toc188020983"/>
      <w:bookmarkStart w:id="75" w:name="n450"/>
      <w:bookmarkEnd w:id="73"/>
      <w:bookmarkEnd w:id="75"/>
      <w:r>
        <w:rPr>
          <w:rFonts w:cs="Times New Roman" w:ascii="Times New Roman" w:hAnsi="Times New Roman"/>
          <w:b/>
          <w:bCs/>
          <w:color w:val="auto"/>
          <w:sz w:val="24"/>
          <w:szCs w:val="24"/>
        </w:rPr>
        <w:t>Додаток 2. Вихідний стан енергетичного розвитку Луцької МТГ</w:t>
      </w:r>
      <w:bookmarkEnd w:id="74"/>
    </w:p>
    <w:p>
      <w:pPr>
        <w:pStyle w:val="111"/>
        <w:ind w:start="720"/>
        <w:rPr/>
      </w:pPr>
      <w:bookmarkStart w:id="76" w:name="__RefHeading___Toc27576_429042107_копія_"/>
      <w:bookmarkStart w:id="77" w:name="_Toc172718923_копія_1_копія_1"/>
      <w:bookmarkStart w:id="78" w:name="_Toc188020984_копія_1"/>
      <w:bookmarkEnd w:id="76"/>
      <w:r>
        <w:rPr>
          <w:rFonts w:ascii="Times New Roman" w:hAnsi="Times New Roman"/>
          <w:b/>
          <w:bCs/>
          <w:color w:val="000000"/>
          <w:sz w:val="24"/>
          <w:szCs w:val="24"/>
          <w:lang w:eastAsia="uk-UA"/>
        </w:rPr>
        <w:t>Д2.1. Характеристика Луцької МТГ</w:t>
      </w:r>
      <w:bookmarkEnd w:id="77"/>
      <w:bookmarkEnd w:id="78"/>
    </w:p>
    <w:p>
      <w:pPr>
        <w:pStyle w:val="LO-normal"/>
        <w:spacing w:lineRule="auto" w:line="276"/>
        <w:ind w:firstLine="567"/>
        <w:jc w:val="both"/>
        <w:rPr/>
      </w:pPr>
      <w:r>
        <w:rPr>
          <w:color w:val="000000"/>
        </w:rPr>
        <w:t>Луцьк – обласний адміністративний центр Волинської області, важливий промислово-економічний вузол західного регіону України.</w:t>
      </w:r>
    </w:p>
    <w:p>
      <w:pPr>
        <w:pStyle w:val="Normal"/>
        <w:spacing w:lineRule="auto" w:line="240" w:before="0" w:after="0"/>
        <w:ind w:firstLine="567"/>
        <w:jc w:val="both"/>
        <w:rPr/>
      </w:pPr>
      <w:r>
        <w:rPr>
          <w:rFonts w:cs="Times New Roman" w:ascii="Times New Roman" w:hAnsi="Times New Roman"/>
          <w:color w:val="000000"/>
          <w:sz w:val="24"/>
          <w:szCs w:val="24"/>
        </w:rPr>
        <w:t>Луцька МТГ складається з м. Луцька, Прилуцького, Жидичинського, Боголюбського, Княгининівського, Заборольського старостинських округів (детальна інформація зазначена у таблиці Д2.1.).</w:t>
      </w:r>
    </w:p>
    <w:p>
      <w:pPr>
        <w:pStyle w:val="Normal"/>
        <w:spacing w:before="0" w:after="0"/>
        <w:jc w:val="center"/>
        <w:rPr/>
      </w:pPr>
      <w:r>
        <w:rPr>
          <w:rFonts w:cs="Times New Roman" w:ascii="Times New Roman" w:hAnsi="Times New Roman"/>
          <w:sz w:val="24"/>
          <w:szCs w:val="24"/>
        </w:rPr>
        <w:t>Таблиця Д2.1. Населені пункти МТГ</w:t>
      </w:r>
    </w:p>
    <w:tbl>
      <w:tblPr>
        <w:tblW w:w="9356" w:type="dxa"/>
        <w:jc w:val="center"/>
        <w:tblInd w:w="0" w:type="dxa"/>
        <w:tblLayout w:type="fixed"/>
        <w:tblCellMar>
          <w:top w:w="55" w:type="dxa"/>
          <w:start w:w="108" w:type="dxa"/>
          <w:bottom w:w="55" w:type="dxa"/>
          <w:end w:w="108" w:type="dxa"/>
        </w:tblCellMar>
        <w:tblLook w:firstRow="1" w:noVBand="1" w:lastRow="0" w:firstColumn="1" w:lastColumn="0" w:noHBand="0" w:val="04a0"/>
      </w:tblPr>
      <w:tblGrid>
        <w:gridCol w:w="406"/>
        <w:gridCol w:w="2125"/>
        <w:gridCol w:w="2408"/>
        <w:gridCol w:w="1278"/>
        <w:gridCol w:w="1831"/>
        <w:gridCol w:w="1307"/>
      </w:tblGrid>
      <w:tr>
        <w:trPr/>
        <w:tc>
          <w:tcPr>
            <w:tcW w:w="40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w:t>
            </w:r>
          </w:p>
        </w:tc>
        <w:tc>
          <w:tcPr>
            <w:tcW w:w="212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СО, що приєдналися</w:t>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Села, що увійшли до складу МТГ</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Площа населених пунктів, га</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Кількість населення</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Пряма відстань до м. Луцьк, км</w:t>
            </w:r>
          </w:p>
        </w:tc>
      </w:tr>
      <w:tr>
        <w:trPr/>
        <w:tc>
          <w:tcPr>
            <w:tcW w:w="40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1</w:t>
            </w:r>
          </w:p>
        </w:tc>
        <w:tc>
          <w:tcPr>
            <w:tcW w:w="2125" w:type="dxa"/>
            <w:vMerge w:val="restart"/>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Прилуцький СО</w:t>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Прилуцьке</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292,5</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2618</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Дачне</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90,6</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754</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Жабка</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67,4</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397</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6</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Сапогове</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33,1</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217</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w:t>
            </w:r>
          </w:p>
        </w:tc>
      </w:tr>
      <w:tr>
        <w:trPr/>
        <w:tc>
          <w:tcPr>
            <w:tcW w:w="40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2</w:t>
            </w:r>
          </w:p>
        </w:tc>
        <w:tc>
          <w:tcPr>
            <w:tcW w:w="2125" w:type="dxa"/>
            <w:vMerge w:val="restart"/>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Боголюбський СО</w:t>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Тарасове</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361,2</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1741</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0,5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Боголюби</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519,48</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1276</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Богушівка</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569,63</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266</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Озденіж</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249,2</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133</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22</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с. Іванчиці</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382,5</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263</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16</w:t>
            </w:r>
          </w:p>
        </w:tc>
      </w:tr>
      <w:tr>
        <w:trPr/>
        <w:tc>
          <w:tcPr>
            <w:tcW w:w="40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3</w:t>
            </w:r>
          </w:p>
        </w:tc>
        <w:tc>
          <w:tcPr>
            <w:tcW w:w="2125" w:type="dxa"/>
            <w:vMerge w:val="restart"/>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Жидичинський СО</w:t>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Жидичин</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280</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1284</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3,8</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Клепачів</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142</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388</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15,2</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Кульчин</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454</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778</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10,3</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Липляни</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85</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637</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2,8</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Небіжка</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79</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567</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11,6</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Озерце</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117</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398</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11,4</w:t>
            </w:r>
          </w:p>
        </w:tc>
      </w:tr>
      <w:tr>
        <w:trPr/>
        <w:tc>
          <w:tcPr>
            <w:tcW w:w="40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4</w:t>
            </w:r>
          </w:p>
        </w:tc>
        <w:tc>
          <w:tcPr>
            <w:tcW w:w="2125" w:type="dxa"/>
            <w:vMerge w:val="restart"/>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Княгининівський СО</w:t>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Княгининок</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585,89</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2284</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Буків</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91,25</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134</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12</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селище  Рокині</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626,10</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1467</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12</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Брище</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205,8</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381</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Зміїнець</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663,95</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2960</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Милушин</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82,3</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274</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6</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Милуші</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128,41</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866</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Моташівка</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44,96</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43</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10</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Сирники</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341,35</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559</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9</w:t>
            </w:r>
          </w:p>
        </w:tc>
      </w:tr>
      <w:tr>
        <w:trPr/>
        <w:tc>
          <w:tcPr>
            <w:tcW w:w="40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5</w:t>
            </w:r>
          </w:p>
        </w:tc>
        <w:tc>
          <w:tcPr>
            <w:tcW w:w="2125" w:type="dxa"/>
            <w:vMerge w:val="restart"/>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Заборольський СО</w:t>
            </w:r>
          </w:p>
        </w:tc>
        <w:tc>
          <w:tcPr>
            <w:tcW w:w="2408" w:type="dxa"/>
            <w:tcBorders>
              <w:top w:val="single" w:sz="4" w:space="0" w:color="000000"/>
              <w:start w:val="single" w:sz="4" w:space="0" w:color="000000"/>
              <w:bottom w:val="single" w:sz="4" w:space="0" w:color="000000"/>
            </w:tcBorders>
          </w:tcPr>
          <w:p>
            <w:pPr>
              <w:pStyle w:val="LO-normal"/>
              <w:jc w:val="both"/>
              <w:rPr/>
            </w:pPr>
            <w:r>
              <w:rPr>
                <w:color w:val="000000"/>
                <w:sz w:val="20"/>
                <w:szCs w:val="20"/>
              </w:rPr>
              <w:t>с. Забороль</w:t>
            </w:r>
          </w:p>
        </w:tc>
        <w:tc>
          <w:tcPr>
            <w:tcW w:w="1278"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792,82</w:t>
            </w:r>
          </w:p>
        </w:tc>
        <w:tc>
          <w:tcPr>
            <w:tcW w:w="183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1858</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start w:val="single" w:sz="4" w:space="0" w:color="000000"/>
              <w:bottom w:val="single" w:sz="4" w:space="0" w:color="000000"/>
            </w:tcBorders>
          </w:tcPr>
          <w:p>
            <w:pPr>
              <w:pStyle w:val="LO-normal"/>
              <w:jc w:val="both"/>
              <w:rPr/>
            </w:pPr>
            <w:r>
              <w:rPr>
                <w:color w:val="000000"/>
                <w:sz w:val="20"/>
                <w:szCs w:val="20"/>
              </w:rPr>
              <w:t>с. Антонівка</w:t>
            </w:r>
          </w:p>
        </w:tc>
        <w:tc>
          <w:tcPr>
            <w:tcW w:w="1278"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171,29</w:t>
            </w:r>
          </w:p>
        </w:tc>
        <w:tc>
          <w:tcPr>
            <w:tcW w:w="1831"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251</w:t>
            </w:r>
          </w:p>
        </w:tc>
        <w:tc>
          <w:tcPr>
            <w:tcW w:w="130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10</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start w:val="single" w:sz="4" w:space="0" w:color="000000"/>
              <w:bottom w:val="single" w:sz="4" w:space="0" w:color="000000"/>
            </w:tcBorders>
          </w:tcPr>
          <w:p>
            <w:pPr>
              <w:pStyle w:val="LO-normal"/>
              <w:jc w:val="both"/>
              <w:rPr/>
            </w:pPr>
            <w:r>
              <w:rPr>
                <w:color w:val="000000"/>
                <w:sz w:val="20"/>
                <w:szCs w:val="20"/>
              </w:rPr>
              <w:t>с. Великий Омеляник</w:t>
            </w:r>
          </w:p>
        </w:tc>
        <w:tc>
          <w:tcPr>
            <w:tcW w:w="1278"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400,2</w:t>
            </w:r>
          </w:p>
        </w:tc>
        <w:tc>
          <w:tcPr>
            <w:tcW w:w="1831"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2000</w:t>
            </w:r>
          </w:p>
        </w:tc>
        <w:tc>
          <w:tcPr>
            <w:tcW w:w="130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start w:val="single" w:sz="4" w:space="0" w:color="000000"/>
              <w:bottom w:val="single" w:sz="4" w:space="0" w:color="000000"/>
            </w:tcBorders>
          </w:tcPr>
          <w:p>
            <w:pPr>
              <w:pStyle w:val="LO-normal"/>
              <w:jc w:val="both"/>
              <w:rPr/>
            </w:pPr>
            <w:r>
              <w:rPr>
                <w:color w:val="000000"/>
                <w:sz w:val="20"/>
                <w:szCs w:val="20"/>
              </w:rPr>
              <w:t>с. Всеволодівка</w:t>
            </w:r>
          </w:p>
        </w:tc>
        <w:tc>
          <w:tcPr>
            <w:tcW w:w="1278"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92,86</w:t>
            </w:r>
          </w:p>
        </w:tc>
        <w:tc>
          <w:tcPr>
            <w:tcW w:w="1831"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55</w:t>
            </w:r>
          </w:p>
        </w:tc>
        <w:tc>
          <w:tcPr>
            <w:tcW w:w="130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11,5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start w:val="single" w:sz="4" w:space="0" w:color="000000"/>
              <w:bottom w:val="single" w:sz="4" w:space="0" w:color="000000"/>
            </w:tcBorders>
          </w:tcPr>
          <w:p>
            <w:pPr>
              <w:pStyle w:val="LO-normal"/>
              <w:jc w:val="both"/>
              <w:rPr/>
            </w:pPr>
            <w:r>
              <w:rPr>
                <w:color w:val="000000"/>
                <w:sz w:val="20"/>
                <w:szCs w:val="20"/>
              </w:rPr>
              <w:t>с. Олександрівка</w:t>
            </w:r>
          </w:p>
        </w:tc>
        <w:tc>
          <w:tcPr>
            <w:tcW w:w="1278"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111,87</w:t>
            </w:r>
          </w:p>
        </w:tc>
        <w:tc>
          <w:tcPr>
            <w:tcW w:w="1831"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103</w:t>
            </w:r>
          </w:p>
        </w:tc>
        <w:tc>
          <w:tcPr>
            <w:tcW w:w="130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10,5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start w:val="single" w:sz="4" w:space="0" w:color="000000"/>
              <w:bottom w:val="single" w:sz="4" w:space="0" w:color="000000"/>
            </w:tcBorders>
          </w:tcPr>
          <w:p>
            <w:pPr>
              <w:pStyle w:val="LO-normal"/>
              <w:jc w:val="both"/>
              <w:rPr/>
            </w:pPr>
            <w:r>
              <w:rPr>
                <w:color w:val="000000"/>
                <w:sz w:val="20"/>
                <w:szCs w:val="20"/>
              </w:rPr>
              <w:t>с. Одеради</w:t>
            </w:r>
          </w:p>
        </w:tc>
        <w:tc>
          <w:tcPr>
            <w:tcW w:w="1278"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145,49</w:t>
            </w:r>
          </w:p>
        </w:tc>
        <w:tc>
          <w:tcPr>
            <w:tcW w:w="1831" w:type="dxa"/>
            <w:tcBorders>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373</w:t>
            </w:r>
          </w:p>
        </w:tc>
        <w:tc>
          <w:tcPr>
            <w:tcW w:w="130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Городок</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139,3</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238</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13</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Сьомаки</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211,9</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389</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20</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Шепель</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445,96</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472</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16,5</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Заболотці</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195,86</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130</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18</w:t>
            </w:r>
          </w:p>
        </w:tc>
      </w:tr>
      <w:tr>
        <w:trPr/>
        <w:tc>
          <w:tcPr>
            <w:tcW w:w="40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125"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color w:val="000000"/>
                <w:sz w:val="20"/>
                <w:szCs w:val="20"/>
              </w:rPr>
            </w:pPr>
            <w:r>
              <w:rPr>
                <w:rFonts w:ascii="Times New Roman" w:hAnsi="Times New Roman"/>
                <w:color w:val="000000"/>
                <w:sz w:val="20"/>
                <w:szCs w:val="20"/>
              </w:rPr>
            </w:r>
          </w:p>
        </w:tc>
        <w:tc>
          <w:tcPr>
            <w:tcW w:w="2408" w:type="dxa"/>
            <w:tcBorders>
              <w:top w:val="single" w:sz="4" w:space="0" w:color="000000"/>
              <w:start w:val="single" w:sz="4" w:space="0" w:color="000000"/>
              <w:bottom w:val="single" w:sz="4" w:space="0" w:color="000000"/>
              <w:end w:val="single" w:sz="4" w:space="0" w:color="000000"/>
            </w:tcBorders>
          </w:tcPr>
          <w:p>
            <w:pPr>
              <w:pStyle w:val="LO-normal"/>
              <w:jc w:val="both"/>
              <w:rPr/>
            </w:pPr>
            <w:r>
              <w:rPr>
                <w:color w:val="000000"/>
                <w:sz w:val="20"/>
                <w:szCs w:val="20"/>
              </w:rPr>
              <w:t>с. Охотин</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175,52</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221</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14,5</w:t>
            </w:r>
          </w:p>
        </w:tc>
      </w:tr>
      <w:tr>
        <w:trPr/>
        <w:tc>
          <w:tcPr>
            <w:tcW w:w="4939" w:type="dxa"/>
            <w:gridSpan w:val="3"/>
            <w:tcBorders>
              <w:top w:val="single" w:sz="4" w:space="0" w:color="000000"/>
              <w:start w:val="single" w:sz="4" w:space="0" w:color="000000"/>
              <w:bottom w:val="single" w:sz="4" w:space="0" w:color="000000"/>
              <w:end w:val="single" w:sz="4" w:space="0" w:color="000000"/>
            </w:tcBorders>
          </w:tcPr>
          <w:p>
            <w:pPr>
              <w:pStyle w:val="LO-normal"/>
              <w:jc w:val="end"/>
              <w:rPr/>
            </w:pPr>
            <w:r>
              <w:rPr>
                <w:color w:val="000000"/>
                <w:sz w:val="20"/>
                <w:szCs w:val="20"/>
              </w:rPr>
              <w:t>Разом</w:t>
            </w:r>
          </w:p>
        </w:tc>
        <w:tc>
          <w:tcPr>
            <w:tcW w:w="127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9 375,7</w:t>
            </w:r>
          </w:p>
        </w:tc>
        <w:tc>
          <w:tcPr>
            <w:tcW w:w="183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2 6775</w:t>
            </w:r>
          </w:p>
        </w:tc>
        <w:tc>
          <w:tcPr>
            <w:tcW w:w="130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w:t>
            </w:r>
          </w:p>
        </w:tc>
      </w:tr>
    </w:tbl>
    <w:p>
      <w:pPr>
        <w:pStyle w:val="Normal"/>
        <w:spacing w:before="0" w:after="0"/>
        <w:ind w:firstLine="567"/>
        <w:jc w:val="both"/>
        <w:rPr/>
      </w:pPr>
      <w:r>
        <w:rPr>
          <w:rFonts w:cs="Times New Roman" w:ascii="Times New Roman" w:hAnsi="Times New Roman"/>
          <w:b/>
          <w:bCs/>
          <w:sz w:val="24"/>
          <w:szCs w:val="24"/>
          <w:shd w:fill="FFFFFF" w:val="clear"/>
        </w:rPr>
        <w:t>Географічне розташування громади</w:t>
      </w:r>
    </w:p>
    <w:p>
      <w:pPr>
        <w:pStyle w:val="LO-normal"/>
        <w:spacing w:lineRule="auto" w:line="276"/>
        <w:ind w:firstLine="567"/>
        <w:jc w:val="both"/>
        <w:rPr/>
      </w:pPr>
      <w:r>
        <w:rPr>
          <w:shd w:fill="FFFFFF" w:val="clear"/>
        </w:rPr>
        <w:t xml:space="preserve">Луцька МТГ розташована на північному заході України в південно-східній частині Волинської області. </w:t>
      </w:r>
    </w:p>
    <w:p>
      <w:pPr>
        <w:pStyle w:val="LO-normal"/>
        <w:spacing w:lineRule="auto" w:line="276"/>
        <w:ind w:firstLine="567"/>
        <w:jc w:val="both"/>
        <w:rPr/>
      </w:pPr>
      <w:r>
        <w:rPr>
          <w:color w:val="000000"/>
          <w:shd w:fill="FFFFFF" w:val="clear"/>
        </w:rPr>
        <w:t xml:space="preserve">Територія громади знаходиться в межах Волинської височини і входить у морфоструктуру Луцько-Рівненського лісового пасма. Луцьк розташований в лісостеповій зоні типових чорноземів і сірих опідзолених ґрунтів. </w:t>
      </w:r>
    </w:p>
    <w:p>
      <w:pPr>
        <w:pStyle w:val="LO-normal"/>
        <w:spacing w:lineRule="auto" w:line="276"/>
        <w:ind w:firstLine="567"/>
        <w:jc w:val="both"/>
        <w:rPr/>
      </w:pPr>
      <w:r>
        <w:rPr>
          <w:color w:val="000000"/>
          <w:shd w:fill="FFFFFF" w:val="clear"/>
        </w:rPr>
        <w:t xml:space="preserve">Площа Луцької МТГ становить 38 257,43 га, м. Луцька – 3 960,83 га. </w:t>
      </w:r>
    </w:p>
    <w:p>
      <w:pPr>
        <w:pStyle w:val="LO-normal"/>
        <w:spacing w:lineRule="auto" w:line="276"/>
        <w:ind w:firstLine="567"/>
        <w:jc w:val="both"/>
        <w:rPr/>
      </w:pPr>
      <w:r>
        <w:rPr>
          <w:color w:val="000000"/>
          <w:shd w:fill="FFFFFF" w:val="clear"/>
        </w:rPr>
        <w:t>Висота над рівнем моря – 181 м.</w:t>
      </w:r>
    </w:p>
    <w:p>
      <w:pPr>
        <w:pStyle w:val="LO-normal"/>
        <w:spacing w:lineRule="auto" w:line="276"/>
        <w:ind w:firstLine="567"/>
        <w:jc w:val="both"/>
        <w:rPr/>
      </w:pPr>
      <w:r>
        <w:rPr/>
        <w:t>Через місто проходять важливі автомобільні шляхи: Луцьк-Ковель-Доманове, Луцьк-Київ, Луцьк-Львів, Луцьк-Чернівці, Луцьк-Ягодин-Хелм, Луцьк-Люблін.</w:t>
      </w:r>
    </w:p>
    <w:p>
      <w:pPr>
        <w:pStyle w:val="LO-normal"/>
        <w:spacing w:lineRule="auto" w:line="276"/>
        <w:ind w:firstLine="567"/>
        <w:jc w:val="both"/>
        <w:rPr>
          <w:strike/>
          <w:color w:val="C9211E"/>
        </w:rPr>
      </w:pPr>
      <w:r>
        <w:rPr>
          <w:strike/>
          <w:color w:val="C9211E"/>
        </w:rPr>
      </w:r>
    </w:p>
    <w:p>
      <w:pPr>
        <w:pStyle w:val="Normal"/>
        <w:spacing w:before="0" w:after="0"/>
        <w:ind w:firstLine="567"/>
        <w:jc w:val="center"/>
        <w:rPr/>
      </w:pPr>
      <w:r>
        <mc:AlternateContent>
          <mc:Choice Requires="wps">
            <w:drawing>
              <wp:anchor behindDoc="0" distT="1270" distB="635" distL="1270" distR="0" simplePos="0" locked="0" layoutInCell="1" allowOverlap="1" relativeHeight="29">
                <wp:simplePos x="0" y="0"/>
                <wp:positionH relativeFrom="column">
                  <wp:posOffset>1557020</wp:posOffset>
                </wp:positionH>
                <wp:positionV relativeFrom="paragraph">
                  <wp:posOffset>417195</wp:posOffset>
                </wp:positionV>
                <wp:extent cx="390525" cy="104775"/>
                <wp:effectExtent l="1270" t="1270" r="0" b="635"/>
                <wp:wrapNone/>
                <wp:docPr id="24" name="Фігура 2"/>
                <a:graphic xmlns:a="http://schemas.openxmlformats.org/drawingml/2006/main">
                  <a:graphicData uri="http://schemas.microsoft.com/office/word/2010/wordprocessingShape">
                    <wps:wsp>
                      <wps:cNvSpPr/>
                      <wps:spPr>
                        <a:xfrm>
                          <a:off x="0" y="0"/>
                          <a:ext cx="390600" cy="104760"/>
                        </a:xfrm>
                        <a:prstGeom prst="rect">
                          <a:avLst/>
                        </a:prstGeom>
                        <a:solidFill>
                          <a:srgbClr val="ff8000"/>
                        </a:solidFill>
                        <a:ln w="0">
                          <a:solidFill>
                            <a:srgbClr val="3465a4"/>
                          </a:solidFill>
                        </a:ln>
                      </wps:spPr>
                      <wps:style>
                        <a:lnRef idx="0"/>
                        <a:fillRef idx="0"/>
                        <a:effectRef idx="0"/>
                        <a:fontRef idx="minor"/>
                      </wps:style>
                      <wps:txbx>
                        <w:txbxContent>
                          <w:p>
                            <w:pPr>
                              <w:pStyle w:val="Style22"/>
                              <w:spacing w:lineRule="auto" w:line="240" w:before="0" w:after="0"/>
                              <w:jc w:val="center"/>
                              <w:rPr>
                                <w:color w:val="000000"/>
                              </w:rPr>
                            </w:pPr>
                            <w:r>
                              <w:rPr>
                                <w:color w:val="000000"/>
                                <w:sz w:val="16"/>
                                <w:szCs w:val="16"/>
                              </w:rPr>
                              <w:t>ЛУЦЬК</w:t>
                            </w:r>
                          </w:p>
                        </w:txbxContent>
                      </wps:txbx>
                      <wps:bodyPr lIns="0" rIns="0" tIns="0" bIns="0" anchor="ctr">
                        <a:noAutofit/>
                      </wps:bodyPr>
                    </wps:wsp>
                  </a:graphicData>
                </a:graphic>
              </wp:anchor>
            </w:drawing>
          </mc:Choice>
          <mc:Fallback>
            <w:pict>
              <v:rect id="shape_0" ID="Фігура 2" path="m0,0l-2147483645,0l-2147483645,-2147483646l0,-2147483646xe" fillcolor="#ff8000" stroked="t" o:allowincell="f" style="position:absolute;margin-left:122.6pt;margin-top:32.85pt;width:30.7pt;height:8.2pt;mso-wrap-style:square;v-text-anchor:middle">
                <v:fill o:detectmouseclick="t" type="solid" color2="#007fff"/>
                <v:stroke color="#3465a4" joinstyle="round" endcap="flat"/>
                <v:textbox>
                  <w:txbxContent>
                    <w:p>
                      <w:pPr>
                        <w:pStyle w:val="Style22"/>
                        <w:spacing w:lineRule="auto" w:line="240" w:before="0" w:after="0"/>
                        <w:jc w:val="center"/>
                        <w:rPr>
                          <w:color w:val="000000"/>
                        </w:rPr>
                      </w:pPr>
                      <w:r>
                        <w:rPr>
                          <w:color w:val="000000"/>
                          <w:sz w:val="16"/>
                          <w:szCs w:val="16"/>
                        </w:rPr>
                        <w:t>ЛУЦЬК</w:t>
                      </w:r>
                    </w:p>
                  </w:txbxContent>
                </v:textbox>
                <w10:wrap type="none"/>
              </v:rect>
            </w:pict>
          </mc:Fallback>
        </mc:AlternateContent>
        <mc:AlternateContent>
          <mc:Choice Requires="wps">
            <w:drawing>
              <wp:anchor behindDoc="0" distT="1270" distB="0" distL="635" distR="635" simplePos="0" locked="0" layoutInCell="1" allowOverlap="1" relativeHeight="31">
                <wp:simplePos x="0" y="0"/>
                <wp:positionH relativeFrom="column">
                  <wp:posOffset>1585595</wp:posOffset>
                </wp:positionH>
                <wp:positionV relativeFrom="paragraph">
                  <wp:posOffset>352425</wp:posOffset>
                </wp:positionV>
                <wp:extent cx="361950" cy="169545"/>
                <wp:effectExtent l="635" t="1270" r="635" b="0"/>
                <wp:wrapNone/>
                <wp:docPr id="25" name="Фігура 3"/>
                <a:graphic xmlns:a="http://schemas.openxmlformats.org/drawingml/2006/main">
                  <a:graphicData uri="http://schemas.microsoft.com/office/word/2010/wordprocessingShape">
                    <wps:wsp>
                      <wps:cNvSpPr/>
                      <wps:spPr>
                        <a:xfrm>
                          <a:off x="0" y="0"/>
                          <a:ext cx="361800" cy="169560"/>
                        </a:xfrm>
                        <a:prstGeom prst="rect">
                          <a:avLst/>
                        </a:prstGeom>
                        <a:solidFill>
                          <a:srgbClr val="ffff00"/>
                        </a:solidFill>
                        <a:ln w="0">
                          <a:solidFill>
                            <a:srgbClr val="3465a4"/>
                          </a:solidFill>
                        </a:ln>
                      </wps:spPr>
                      <wps:style>
                        <a:lnRef idx="0"/>
                        <a:fillRef idx="0"/>
                        <a:effectRef idx="0"/>
                        <a:fontRef idx="minor"/>
                      </wps:style>
                      <wps:txbx>
                        <w:txbxContent>
                          <w:p>
                            <w:pPr>
                              <w:pStyle w:val="Style22"/>
                              <w:overflowPunct w:val="true"/>
                              <w:spacing w:lineRule="auto" w:line="240" w:before="0" w:after="0"/>
                              <w:jc w:val="center"/>
                              <w:rPr>
                                <w:color w:val="000000"/>
                              </w:rPr>
                            </w:pPr>
                            <w:r>
                              <w:rPr>
                                <w:color w:val="000000"/>
                                <w:sz w:val="22"/>
                              </w:rPr>
                              <w:t>Луцьк</w:t>
                            </w:r>
                          </w:p>
                        </w:txbxContent>
                      </wps:txbx>
                      <wps:bodyPr lIns="0" rIns="0" tIns="0" bIns="0" anchor="ctr">
                        <a:noAutofit/>
                      </wps:bodyPr>
                    </wps:wsp>
                  </a:graphicData>
                </a:graphic>
              </wp:anchor>
            </w:drawing>
          </mc:Choice>
          <mc:Fallback>
            <w:pict>
              <v:rect id="shape_0" ID="Фігура 3" path="m0,0l-2147483645,0l-2147483645,-2147483646l0,-2147483646xe" fillcolor="yellow" stroked="t" o:allowincell="f" style="position:absolute;margin-left:124.85pt;margin-top:27.75pt;width:28.45pt;height:13.3pt;mso-wrap-style:square;v-text-anchor:middle">
                <v:fill o:detectmouseclick="t" type="solid" color2="blue"/>
                <v:stroke color="#3465a4" joinstyle="round" endcap="flat"/>
                <v:textbox>
                  <w:txbxContent>
                    <w:p>
                      <w:pPr>
                        <w:pStyle w:val="Style22"/>
                        <w:overflowPunct w:val="true"/>
                        <w:spacing w:lineRule="auto" w:line="240" w:before="0" w:after="0"/>
                        <w:jc w:val="center"/>
                        <w:rPr>
                          <w:color w:val="000000"/>
                        </w:rPr>
                      </w:pPr>
                      <w:r>
                        <w:rPr>
                          <w:color w:val="000000"/>
                          <w:sz w:val="22"/>
                        </w:rPr>
                        <w:t>Луцьк</w:t>
                      </w:r>
                    </w:p>
                  </w:txbxContent>
                </v:textbox>
                <w10:wrap type="none"/>
              </v:rect>
            </w:pict>
          </mc:Fallback>
        </mc:AlternateContent>
        <w:drawing>
          <wp:anchor behindDoc="0" distT="0" distB="0" distL="0" distR="0" simplePos="0" locked="0" layoutInCell="0" allowOverlap="1" relativeHeight="37">
            <wp:simplePos x="0" y="0"/>
            <wp:positionH relativeFrom="column">
              <wp:align>center</wp:align>
            </wp:positionH>
            <wp:positionV relativeFrom="paragraph">
              <wp:posOffset>635</wp:posOffset>
            </wp:positionV>
            <wp:extent cx="4135120" cy="2712720"/>
            <wp:effectExtent l="0" t="0" r="0" b="0"/>
            <wp:wrapTopAndBottom/>
            <wp:docPr id="26" name="Зображення10 копія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Зображення10 копія 1" descr="" title=""/>
                    <pic:cNvPicPr>
                      <a:picLocks noChangeAspect="1" noChangeArrowheads="1"/>
                    </pic:cNvPicPr>
                  </pic:nvPicPr>
                  <pic:blipFill>
                    <a:blip r:embed="rId60"/>
                    <a:stretch>
                      <a:fillRect/>
                    </a:stretch>
                  </pic:blipFill>
                  <pic:spPr bwMode="auto">
                    <a:xfrm>
                      <a:off x="0" y="0"/>
                      <a:ext cx="4135120" cy="2712720"/>
                    </a:xfrm>
                    <a:prstGeom prst="rect">
                      <a:avLst/>
                    </a:prstGeom>
                  </pic:spPr>
                </pic:pic>
              </a:graphicData>
            </a:graphic>
          </wp:anchor>
        </w:drawing>
        <mc:AlternateContent>
          <mc:Choice Requires="wps">
            <w:drawing>
              <wp:anchor behindDoc="0" distT="0" distB="0" distL="0" distR="0" simplePos="0" locked="0" layoutInCell="1" allowOverlap="1" relativeHeight="64">
                <wp:simplePos x="0" y="0"/>
                <wp:positionH relativeFrom="column">
                  <wp:posOffset>1661795</wp:posOffset>
                </wp:positionH>
                <wp:positionV relativeFrom="paragraph">
                  <wp:posOffset>417195</wp:posOffset>
                </wp:positionV>
                <wp:extent cx="285750" cy="104775"/>
                <wp:effectExtent l="635" t="1270" r="38100" b="15875"/>
                <wp:wrapNone/>
                <wp:docPr id="27" name="Фігура 4"/>
                <a:graphic xmlns:a="http://schemas.openxmlformats.org/drawingml/2006/main">
                  <a:graphicData uri="http://schemas.microsoft.com/office/word/2010/wordprocessingShape">
                    <wps:wsp>
                      <wps:cNvSpPr/>
                      <wps:spPr>
                        <a:xfrm>
                          <a:off x="0" y="0"/>
                          <a:ext cx="285840" cy="104760"/>
                        </a:xfrm>
                        <a:prstGeom prst="roundRect">
                          <a:avLst>
                            <a:gd name="adj" fmla="val 18072"/>
                          </a:avLst>
                        </a:prstGeom>
                        <a:blipFill rotWithShape="0">
                          <a:blip r:embed="rId61"/>
                          <a:tile tx="0" ty="0" sx="100000" sy="100000" algn="ctr"/>
                        </a:blipFill>
                        <a:ln w="0">
                          <a:solidFill>
                            <a:srgbClr val="3465a4"/>
                          </a:solidFill>
                        </a:ln>
                      </wps:spPr>
                      <wps:style>
                        <a:lnRef idx="0"/>
                        <a:fillRef idx="0"/>
                        <a:effectRef idx="0"/>
                        <a:fontRef idx="minor"/>
                      </wps:style>
                      <wps:txbx>
                        <w:txbxContent>
                          <w:p>
                            <w:pPr>
                              <w:overflowPunct w:val="false"/>
                              <w:spacing w:before="0" w:after="0" w:lineRule="auto" w:line="240"/>
                              <w:rPr/>
                            </w:pPr>
                            <w:r>
                              <w:rPr>
                                <w:sz w:val="20"/>
                                <w:szCs w:val="20"/>
                                <w:shd w:fill="83FF00" w:val="clear"/>
                              </w:rPr>
                              <w:t>Луцьк</w:t>
                            </w:r>
                          </w:p>
                        </w:txbxContent>
                      </wps:txbx>
                      <wps:bodyPr lIns="0" rIns="0" tIns="0" bIns="0" anchor="ctr">
                        <a:noAutofit/>
                      </wps:bodyPr>
                    </wps:wsp>
                  </a:graphicData>
                </a:graphic>
              </wp:anchor>
            </w:drawing>
          </mc:Choice>
          <mc:Fallback>
            <w:pict>
              <v:roundrect id="shape_0" ID="Фігура 4" stroked="t" o:allowincell="f" style="position:absolute;margin-left:130.85pt;margin-top:32.85pt;width:22.45pt;height:8.2pt;mso-wrap-style:none;v-text-anchor:middle">
                <v:textbox>
                  <w:txbxContent>
                    <w:p>
                      <w:pPr>
                        <w:overflowPunct w:val="false"/>
                        <w:spacing w:before="0" w:after="0" w:lineRule="auto" w:line="240"/>
                        <w:rPr/>
                      </w:pPr>
                      <w:r>
                        <w:rPr>
                          <w:sz w:val="20"/>
                          <w:szCs w:val="20"/>
                          <w:shd w:fill="83FF00" w:val="clear"/>
                        </w:rPr>
                        <w:t>Луцьк</w:t>
                      </w:r>
                    </w:p>
                  </w:txbxContent>
                </v:textbox>
                <v:fill r:id="rId62" o:detectmouseclick="t" type="tile" color2="black"/>
                <v:stroke color="#3465a4" joinstyle="round" endcap="flat"/>
                <w10:wrap type="none"/>
              </v:roundrect>
            </w:pict>
          </mc:Fallback>
        </mc:AlternateContent>
      </w:r>
      <w:r>
        <w:rPr>
          <w:rFonts w:cs="Times New Roman" w:ascii="Times New Roman" w:hAnsi="Times New Roman"/>
          <w:sz w:val="24"/>
          <w:szCs w:val="24"/>
        </w:rPr>
        <w:t xml:space="preserve">Рисунок Д2.1.  Місто </w:t>
      </w:r>
      <w:r>
        <w:rPr>
          <w:rFonts w:cs="Times New Roman" w:ascii="Times New Roman" w:hAnsi="Times New Roman"/>
          <w:sz w:val="24"/>
          <w:szCs w:val="24"/>
        </w:rPr>
        <w:t>Луцьк</w:t>
      </w:r>
      <w:r>
        <w:rPr>
          <w:rFonts w:cs="Times New Roman" w:ascii="Times New Roman" w:hAnsi="Times New Roman"/>
          <w:sz w:val="24"/>
          <w:szCs w:val="24"/>
        </w:rPr>
        <w:t xml:space="preserve"> на карті України</w:t>
      </w:r>
    </w:p>
    <w:p>
      <w:pPr>
        <w:pStyle w:val="LO-normal"/>
        <w:spacing w:lineRule="auto" w:line="276"/>
        <w:ind w:firstLine="567"/>
        <w:jc w:val="both"/>
        <w:rPr/>
      </w:pPr>
      <w:r>
        <w:rPr/>
        <w:t xml:space="preserve">Крім того, Луцька громада розташована на перетині шляхів з України в країни Європейського Союзу. Через місто проходять автодороги міждержавного значення, що сполучають Україну з Польщею. </w:t>
      </w:r>
    </w:p>
    <w:p>
      <w:pPr>
        <w:pStyle w:val="LO-normal"/>
        <w:spacing w:lineRule="auto" w:line="276"/>
        <w:ind w:firstLine="567"/>
        <w:jc w:val="both"/>
        <w:rPr/>
      </w:pPr>
      <w:r>
        <w:rPr>
          <w:color w:val="000000"/>
        </w:rPr>
        <w:t>Відстань до державного кордону з Республікою Польща (МПП «Устилуг») – 85 км.</w:t>
      </w:r>
    </w:p>
    <w:p>
      <w:pPr>
        <w:pStyle w:val="LO-normal"/>
        <w:spacing w:lineRule="auto" w:line="276"/>
        <w:ind w:firstLine="567"/>
        <w:jc w:val="both"/>
        <w:rPr/>
      </w:pPr>
      <w:r>
        <w:rPr>
          <w:color w:val="000000"/>
        </w:rPr>
        <w:t xml:space="preserve">Через місто протікає частково судноплавна річка Стир, яка є притокою Прип’яті та має сполучення з Дніпром. </w:t>
      </w:r>
    </w:p>
    <w:p>
      <w:pPr>
        <w:pStyle w:val="LO-normal"/>
        <w:spacing w:lineRule="auto" w:line="276"/>
        <w:ind w:firstLine="567"/>
        <w:jc w:val="both"/>
        <w:rPr/>
      </w:pPr>
      <w:r>
        <w:rPr>
          <w:color w:val="000000"/>
        </w:rPr>
        <w:t xml:space="preserve">Основна частина міста, в тому числі центр, знаходяться на правому березі ріки Стир. На території міста є три малі річки: Сапалаївка (довжина - 12,4 км) – права притока Стиру; Омеляник (12,6 км) та Жидувка (4 км) </w:t>
      </w:r>
      <w:r>
        <w:rPr/>
        <w:t>–</w:t>
      </w:r>
      <w:r>
        <w:rPr>
          <w:color w:val="000000"/>
        </w:rPr>
        <w:t xml:space="preserve"> ліві притоки Стиру. </w:t>
      </w:r>
    </w:p>
    <w:p>
      <w:pPr>
        <w:pStyle w:val="LO-normal"/>
        <w:spacing w:lineRule="auto" w:line="276"/>
        <w:ind w:firstLine="567"/>
        <w:jc w:val="both"/>
        <w:rPr/>
      </w:pPr>
      <w:r>
        <w:rPr/>
        <w:t xml:space="preserve">Клімат громади – помірно континентальний з м'якою зимою і теплим літом. Середньорічна температура повітря у 2024 році становила 10,4 °С, найнижча середньозимова температура повітря (-0,1 °С), найвища середньовесняна температура повітря (+7,9 °С), найвища середньолітня температура повітря (+20,4 °С), найвища середньоосіння температура повітря (+8,7 °С). Відносна вологість повітря в середньому за рік становить 78%, найменша вона у травні (64 %), найбільша у грудні (89 %).  </w:t>
      </w:r>
    </w:p>
    <w:p>
      <w:pPr>
        <w:pStyle w:val="Normal"/>
        <w:spacing w:before="0" w:after="0"/>
        <w:ind w:firstLine="567"/>
        <w:jc w:val="both"/>
        <w:rPr/>
      </w:pPr>
      <w:r>
        <w:rPr>
          <w:rFonts w:eastAsia="NSimSun" w:cs="Times New Roman" w:ascii="Times New Roman" w:hAnsi="Times New Roman"/>
          <w:kern w:val="2"/>
          <w:sz w:val="24"/>
          <w:szCs w:val="24"/>
          <w:lang w:eastAsia="zh-CN" w:bidi="hi-IN"/>
        </w:rPr>
        <w:t>Продовж останніх десятиліть, як в Україні, так і на Волині чітко спостерігаються прояви зміни клімату. Результати досліджень свідчать, що середньорічна температура повітря та деякі інші метеорологічні параметри відрізняються від значень кліматичної норми (усередненого значення за період 1961−1990 роки). За даними метеорологічних спостережень, проведених на найближчій метеорологічній станції Луцьк в період з 1970 по 2022 роки, середньорічна температура в цьому регіоні зросла приблизно на +2,4°С порівняно з кліматичною нормою 1961-1990 років (рисунок Д2.2.).</w:t>
      </w:r>
    </w:p>
    <w:p>
      <w:pPr>
        <w:pStyle w:val="Normal"/>
        <w:spacing w:before="0" w:after="0"/>
        <w:ind w:firstLine="567"/>
        <w:jc w:val="center"/>
        <w:rPr/>
      </w:pPr>
      <w:r>
        <w:drawing>
          <wp:anchor behindDoc="0" distT="0" distB="0" distL="0" distR="0" simplePos="0" locked="0" layoutInCell="0" allowOverlap="1" relativeHeight="38">
            <wp:simplePos x="0" y="0"/>
            <wp:positionH relativeFrom="column">
              <wp:align>center</wp:align>
            </wp:positionH>
            <wp:positionV relativeFrom="paragraph">
              <wp:posOffset>635</wp:posOffset>
            </wp:positionV>
            <wp:extent cx="6120130" cy="2947670"/>
            <wp:effectExtent l="0" t="0" r="0" b="0"/>
            <wp:wrapSquare wrapText="largest"/>
            <wp:docPr id="28" name="Зображення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Зображення4" descr="" title=""/>
                    <pic:cNvPicPr>
                      <a:picLocks noChangeAspect="1" noChangeArrowheads="1"/>
                    </pic:cNvPicPr>
                  </pic:nvPicPr>
                  <pic:blipFill>
                    <a:blip r:embed="rId63"/>
                    <a:srcRect l="0" t="0" r="0" b="7904"/>
                    <a:stretch>
                      <a:fillRect/>
                    </a:stretch>
                  </pic:blipFill>
                  <pic:spPr bwMode="auto">
                    <a:xfrm>
                      <a:off x="0" y="0"/>
                      <a:ext cx="6120130" cy="2947670"/>
                    </a:xfrm>
                    <a:prstGeom prst="rect">
                      <a:avLst/>
                    </a:prstGeom>
                  </pic:spPr>
                </pic:pic>
              </a:graphicData>
            </a:graphic>
          </wp:anchor>
        </w:drawing>
      </w:r>
      <w:r>
        <w:rPr>
          <w:rFonts w:eastAsia="NSimSun" w:cs="Times New Roman" w:ascii="Times New Roman" w:hAnsi="Times New Roman"/>
          <w:kern w:val="2"/>
          <w:sz w:val="24"/>
          <w:szCs w:val="24"/>
          <w:shd w:fill="FFFFFF" w:val="clear"/>
          <w:lang w:eastAsia="zh-CN" w:bidi="hi-IN"/>
        </w:rPr>
        <w:t>Рисунок Д2.2. Середньорічні показники температури та опадів у Луцьку</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За даними Волинського обласного центру з гідрометеорології (Волинський ЦГМ) середньорічна температура повітря у 2022 році становила (+9,4)°С. За багаторічний період спостережень, температура повітря становила: абсолютний мінімум (-33,6)°С, абсолютний максимум (+36,2)°С. Середня максимальна температура повітря в літній сезон у 2022 році становила (+20,4)°С. Середня мінімальна температура повітря в зимовий сезон у 2022 році становила (-0,1)°С.</w:t>
      </w:r>
    </w:p>
    <w:p>
      <w:pPr>
        <w:pStyle w:val="Normal"/>
        <w:spacing w:lineRule="auto" w:line="240" w:before="0" w:after="0"/>
        <w:ind w:firstLine="567"/>
        <w:jc w:val="both"/>
        <w:rPr/>
      </w:pPr>
      <w:r>
        <w:rPr>
          <w:rFonts w:eastAsia="Times New Roman" w:cs="Times New Roman" w:ascii="Times New Roman" w:hAnsi="Times New Roman"/>
          <w:b/>
          <w:bCs/>
          <w:color w:val="000000"/>
          <w:sz w:val="24"/>
          <w:szCs w:val="24"/>
          <w:shd w:fill="FFFFFF" w:val="clear"/>
          <w:lang w:eastAsia="uk-UA"/>
        </w:rPr>
        <w:t>Демографічна ситуація, основні статистичні показники ТГ</w:t>
      </w:r>
    </w:p>
    <w:p>
      <w:pPr>
        <w:pStyle w:val="BodyText"/>
        <w:spacing w:before="0" w:after="0"/>
        <w:ind w:firstLine="567"/>
        <w:jc w:val="both"/>
        <w:rPr/>
      </w:pPr>
      <w:r>
        <w:rPr>
          <w:rFonts w:cs="Times New Roman" w:ascii="Times New Roman" w:hAnsi="Times New Roman"/>
          <w:color w:val="000000"/>
          <w:sz w:val="24"/>
          <w:szCs w:val="24"/>
        </w:rPr>
        <w:t>Населення та його зайнятість</w:t>
      </w:r>
    </w:p>
    <w:p>
      <w:pPr>
        <w:pStyle w:val="BodyText"/>
        <w:spacing w:before="0" w:after="0"/>
        <w:ind w:firstLine="567"/>
        <w:jc w:val="both"/>
        <w:rPr/>
      </w:pPr>
      <w:r>
        <w:rPr>
          <w:rFonts w:cs="Times New Roman" w:ascii="Times New Roman" w:hAnsi="Times New Roman"/>
          <w:color w:val="000000"/>
          <w:sz w:val="24"/>
          <w:szCs w:val="24"/>
        </w:rPr>
        <w:t>Станом на 2024 рік кількість населення Луцька становило 217,1 тис. осіб (</w:t>
      </w:r>
      <w:hyperlink r:id="rId64">
        <w:r>
          <w:rPr>
            <w:rStyle w:val="Hyperlink"/>
            <w:rFonts w:cs="Times New Roman" w:ascii="Times New Roman" w:hAnsi="Times New Roman"/>
            <w:color w:val="000000"/>
            <w:sz w:val="24"/>
            <w:szCs w:val="24"/>
          </w:rPr>
          <w:t>https://population-hub.com/ua/ua/population-of-lutsk-6175.html</w:t>
        </w:r>
      </w:hyperlink>
      <w:r>
        <w:rPr>
          <w:rFonts w:cs="Times New Roman" w:ascii="Times New Roman" w:hAnsi="Times New Roman"/>
          <w:color w:val="000000"/>
          <w:sz w:val="24"/>
          <w:szCs w:val="24"/>
        </w:rPr>
        <w:t xml:space="preserve">). </w:t>
      </w:r>
    </w:p>
    <w:p>
      <w:pPr>
        <w:pStyle w:val="Normal"/>
        <w:widowControl w:val="false"/>
        <w:spacing w:before="0" w:after="0"/>
        <w:ind w:firstLine="567"/>
        <w:jc w:val="both"/>
        <w:rPr/>
      </w:pPr>
      <w:r>
        <w:rPr>
          <w:rFonts w:cs="Times New Roman" w:ascii="Times New Roman" w:hAnsi="Times New Roman"/>
          <w:color w:val="000000"/>
          <w:sz w:val="24"/>
          <w:szCs w:val="24"/>
        </w:rPr>
        <w:t>На рисунку Д2.3. наведено динаміку кількості наявного населення м. Луцька.</w:t>
      </w:r>
    </w:p>
    <w:p>
      <w:pPr>
        <w:pStyle w:val="Normal"/>
        <w:widowControl w:val="false"/>
        <w:spacing w:before="0" w:after="0"/>
        <w:jc w:val="both"/>
        <w:rPr/>
      </w:pPr>
      <w:r>
        <w:rPr/>
        <w:drawing>
          <wp:anchor behindDoc="0" distT="0" distB="0" distL="0" distR="0" simplePos="0" locked="0" layoutInCell="0" allowOverlap="1" relativeHeight="33">
            <wp:simplePos x="0" y="0"/>
            <wp:positionH relativeFrom="column">
              <wp:posOffset>986155</wp:posOffset>
            </wp:positionH>
            <wp:positionV relativeFrom="paragraph">
              <wp:posOffset>109220</wp:posOffset>
            </wp:positionV>
            <wp:extent cx="3938270" cy="1782445"/>
            <wp:effectExtent l="0" t="0" r="0" b="0"/>
            <wp:wrapSquare wrapText="largest"/>
            <wp:docPr id="29" name="Диаграмма 66"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anchor>
        </w:drawing>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rFonts w:ascii="Times New Roman" w:hAnsi="Times New Roman" w:cs="Times New Roman"/>
          <w:color w:val="000000"/>
          <w:sz w:val="24"/>
          <w:szCs w:val="24"/>
        </w:rPr>
      </w:pPr>
      <w:r>
        <w:rPr/>
      </w:r>
    </w:p>
    <w:p>
      <w:pPr>
        <w:pStyle w:val="Normal"/>
        <w:spacing w:before="0" w:after="0"/>
        <w:jc w:val="center"/>
        <w:rPr/>
      </w:pPr>
      <w:r>
        <w:rPr>
          <w:rFonts w:cs="Times New Roman" w:ascii="Times New Roman" w:hAnsi="Times New Roman"/>
          <w:color w:val="000000"/>
          <w:sz w:val="24"/>
          <w:szCs w:val="24"/>
        </w:rPr>
        <w:t xml:space="preserve">Рисунок Д2.3. Динаміка кількості наявного населення м. Луцька </w:t>
      </w:r>
    </w:p>
    <w:p>
      <w:pPr>
        <w:pStyle w:val="Normal"/>
        <w:spacing w:before="0" w:after="0"/>
        <w:ind w:firstLine="567"/>
        <w:jc w:val="both"/>
        <w:rPr/>
      </w:pPr>
      <w:r>
        <w:rPr>
          <w:rFonts w:cs="Times New Roman" w:ascii="Times New Roman" w:hAnsi="Times New Roman"/>
          <w:color w:val="000000"/>
          <w:sz w:val="24"/>
          <w:szCs w:val="24"/>
        </w:rPr>
        <w:t xml:space="preserve">У зв’язку з вимушеним переселенням українців та релокацією бізнесу через воєнні дії в Україні фактична кількість населення громади в період 2022-2025 років динамічно змінюється, але залишається в межах статистичної похибки. </w:t>
      </w:r>
    </w:p>
    <w:p>
      <w:pPr>
        <w:pStyle w:val="Normal"/>
        <w:spacing w:before="0" w:after="0"/>
        <w:jc w:val="center"/>
        <w:rPr/>
      </w:pPr>
      <w:r>
        <w:rPr>
          <w:rFonts w:cs="Times New Roman" w:ascii="Times New Roman" w:hAnsi="Times New Roman"/>
          <w:bCs/>
          <w:color w:val="000000"/>
          <w:sz w:val="24"/>
          <w:szCs w:val="24"/>
        </w:rPr>
        <w:t>Таблиця Д2.2. </w:t>
      </w:r>
      <w:r>
        <w:rPr>
          <w:rFonts w:cs="Times New Roman" w:ascii="Times New Roman" w:hAnsi="Times New Roman"/>
          <w:color w:val="000000"/>
          <w:sz w:val="24"/>
          <w:szCs w:val="24"/>
        </w:rPr>
        <w:t>Узагальнені показники соціального розвитку м. Луцька*</w:t>
      </w:r>
    </w:p>
    <w:tbl>
      <w:tblPr>
        <w:tblW w:w="9787"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380"/>
        <w:gridCol w:w="904"/>
        <w:gridCol w:w="900"/>
        <w:gridCol w:w="899"/>
        <w:gridCol w:w="912"/>
        <w:gridCol w:w="890"/>
        <w:gridCol w:w="901"/>
      </w:tblGrid>
      <w:tr>
        <w:trPr/>
        <w:tc>
          <w:tcPr>
            <w:tcW w:w="438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Назва показника</w:t>
            </w:r>
          </w:p>
        </w:tc>
        <w:tc>
          <w:tcPr>
            <w:tcW w:w="5406" w:type="dxa"/>
            <w:gridSpan w:val="6"/>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pPr>
            <w:r>
              <w:rPr>
                <w:rFonts w:cs="Times New Roman" w:ascii="Times New Roman" w:hAnsi="Times New Roman"/>
                <w:color w:val="000000"/>
                <w:sz w:val="20"/>
                <w:szCs w:val="20"/>
              </w:rPr>
              <w:t>Роки</w:t>
            </w:r>
          </w:p>
        </w:tc>
      </w:tr>
      <w:tr>
        <w:trPr/>
        <w:tc>
          <w:tcPr>
            <w:tcW w:w="438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2017</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2018</w:t>
            </w:r>
          </w:p>
        </w:tc>
        <w:tc>
          <w:tcPr>
            <w:tcW w:w="89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2019</w:t>
            </w:r>
          </w:p>
        </w:tc>
        <w:tc>
          <w:tcPr>
            <w:tcW w:w="91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pPr>
            <w:r>
              <w:rPr>
                <w:rFonts w:cs="Times New Roman" w:ascii="Times New Roman" w:hAnsi="Times New Roman"/>
                <w:color w:val="000000"/>
                <w:sz w:val="20"/>
                <w:szCs w:val="20"/>
              </w:rPr>
              <w:t>2020</w:t>
            </w:r>
          </w:p>
        </w:tc>
        <w:tc>
          <w:tcPr>
            <w:tcW w:w="890" w:type="dxa"/>
            <w:tcBorders>
              <w:top w:val="single" w:sz="4" w:space="0" w:color="000000"/>
              <w:start w:val="single" w:sz="4" w:space="0" w:color="000000"/>
              <w:bottom w:val="single" w:sz="4" w:space="0" w:color="000000"/>
            </w:tcBorders>
          </w:tcPr>
          <w:p>
            <w:pPr>
              <w:pStyle w:val="Normal"/>
              <w:widowControl w:val="false"/>
              <w:spacing w:before="0" w:after="0"/>
              <w:jc w:val="center"/>
              <w:rPr/>
            </w:pPr>
            <w:r>
              <w:rPr>
                <w:rFonts w:cs="Times New Roman" w:ascii="Times New Roman" w:hAnsi="Times New Roman"/>
                <w:color w:val="000000"/>
                <w:sz w:val="20"/>
                <w:szCs w:val="20"/>
              </w:rPr>
              <w:t>2021</w:t>
            </w:r>
          </w:p>
        </w:tc>
        <w:tc>
          <w:tcPr>
            <w:tcW w:w="9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pPr>
            <w:r>
              <w:rPr>
                <w:rFonts w:cs="Times New Roman" w:ascii="Times New Roman" w:hAnsi="Times New Roman"/>
                <w:color w:val="000000"/>
                <w:sz w:val="20"/>
                <w:szCs w:val="20"/>
              </w:rPr>
              <w:t>2022</w:t>
            </w:r>
          </w:p>
        </w:tc>
      </w:tr>
      <w:tr>
        <w:trPr/>
        <w:tc>
          <w:tcPr>
            <w:tcW w:w="4380" w:type="dxa"/>
            <w:tcBorders>
              <w:start w:val="single" w:sz="4" w:space="0" w:color="000000"/>
              <w:bottom w:val="single" w:sz="4" w:space="0" w:color="000000"/>
              <w:end w:val="single" w:sz="4" w:space="0" w:color="000000"/>
            </w:tcBorders>
            <w:vAlign w:val="center"/>
          </w:tcPr>
          <w:p>
            <w:pPr>
              <w:pStyle w:val="Normal"/>
              <w:widowControl w:val="false"/>
              <w:spacing w:before="0" w:after="0"/>
              <w:rPr/>
            </w:pPr>
            <w:r>
              <w:rPr>
                <w:rFonts w:cs="Times New Roman" w:ascii="Times New Roman" w:hAnsi="Times New Roman"/>
                <w:color w:val="000000"/>
                <w:sz w:val="20"/>
                <w:szCs w:val="20"/>
              </w:rPr>
              <w:t>Чисельність наявного населення, осіб</w:t>
            </w:r>
          </w:p>
        </w:tc>
        <w:tc>
          <w:tcPr>
            <w:tcW w:w="904"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textAlignment w:val="center"/>
              <w:rPr/>
            </w:pPr>
            <w:r>
              <w:rPr>
                <w:rFonts w:cs="Times New Roman" w:ascii="Times New Roman" w:hAnsi="Times New Roman"/>
                <w:color w:val="000000"/>
                <w:sz w:val="20"/>
                <w:szCs w:val="20"/>
              </w:rPr>
              <w:t>216505</w:t>
            </w:r>
          </w:p>
        </w:tc>
        <w:tc>
          <w:tcPr>
            <w:tcW w:w="900"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textAlignment w:val="center"/>
              <w:rPr/>
            </w:pPr>
            <w:r>
              <w:rPr>
                <w:rFonts w:cs="Times New Roman" w:ascii="Times New Roman" w:hAnsi="Times New Roman"/>
                <w:color w:val="000000"/>
                <w:sz w:val="20"/>
                <w:szCs w:val="20"/>
              </w:rPr>
              <w:t>216887</w:t>
            </w:r>
          </w:p>
        </w:tc>
        <w:tc>
          <w:tcPr>
            <w:tcW w:w="899"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textAlignment w:val="center"/>
              <w:rPr/>
            </w:pPr>
            <w:r>
              <w:rPr>
                <w:rFonts w:cs="Times New Roman" w:ascii="Times New Roman" w:hAnsi="Times New Roman"/>
                <w:color w:val="000000"/>
                <w:sz w:val="20"/>
                <w:szCs w:val="20"/>
              </w:rPr>
              <w:t>217315</w:t>
            </w:r>
          </w:p>
        </w:tc>
        <w:tc>
          <w:tcPr>
            <w:tcW w:w="912"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textAlignment w:val="center"/>
              <w:rPr/>
            </w:pPr>
            <w:r>
              <w:rPr>
                <w:rFonts w:cs="Times New Roman" w:ascii="Times New Roman" w:hAnsi="Times New Roman"/>
                <w:color w:val="000000"/>
                <w:sz w:val="20"/>
                <w:szCs w:val="20"/>
              </w:rPr>
              <w:t>217197</w:t>
            </w:r>
          </w:p>
        </w:tc>
        <w:tc>
          <w:tcPr>
            <w:tcW w:w="890"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textAlignment w:val="center"/>
              <w:rPr/>
            </w:pPr>
            <w:r>
              <w:rPr>
                <w:rFonts w:cs="Times New Roman" w:ascii="Times New Roman" w:hAnsi="Times New Roman"/>
                <w:color w:val="000000"/>
                <w:sz w:val="20"/>
                <w:szCs w:val="20"/>
              </w:rPr>
              <w:t>215986</w:t>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textAlignment w:val="center"/>
              <w:rPr/>
            </w:pPr>
            <w:r>
              <w:rPr>
                <w:rFonts w:cs="Times New Roman" w:ascii="Times New Roman" w:hAnsi="Times New Roman"/>
                <w:color w:val="000000"/>
                <w:sz w:val="20"/>
                <w:szCs w:val="20"/>
              </w:rPr>
              <w:t>212903</w:t>
            </w:r>
          </w:p>
        </w:tc>
      </w:tr>
      <w:tr>
        <w:trPr/>
        <w:tc>
          <w:tcPr>
            <w:tcW w:w="43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rPr/>
            </w:pPr>
            <w:r>
              <w:rPr>
                <w:rFonts w:cs="Times New Roman" w:ascii="Times New Roman" w:hAnsi="Times New Roman"/>
                <w:color w:val="000000"/>
                <w:sz w:val="20"/>
                <w:szCs w:val="20"/>
              </w:rPr>
              <w:t>Чисельність зайнятого населення загалом по громаді, тис осіб</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71,8</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75,9</w:t>
            </w:r>
          </w:p>
        </w:tc>
        <w:tc>
          <w:tcPr>
            <w:tcW w:w="89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80,1</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72,1</w:t>
            </w:r>
          </w:p>
        </w:tc>
        <w:tc>
          <w:tcPr>
            <w:tcW w:w="890"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70,8</w:t>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w:t>
            </w:r>
          </w:p>
        </w:tc>
      </w:tr>
      <w:tr>
        <w:trPr/>
        <w:tc>
          <w:tcPr>
            <w:tcW w:w="43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rPr/>
            </w:pPr>
            <w:r>
              <w:rPr>
                <w:rFonts w:cs="Times New Roman" w:ascii="Times New Roman" w:hAnsi="Times New Roman"/>
                <w:color w:val="000000"/>
                <w:sz w:val="20"/>
                <w:szCs w:val="20"/>
              </w:rPr>
              <w:t>Чисельність зареєстрованих безробітних (середня річна), осіб</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5875</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5865</w:t>
            </w:r>
          </w:p>
        </w:tc>
        <w:tc>
          <w:tcPr>
            <w:tcW w:w="89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5907</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8356</w:t>
            </w:r>
          </w:p>
        </w:tc>
        <w:tc>
          <w:tcPr>
            <w:tcW w:w="890"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7686</w:t>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5223</w:t>
            </w:r>
          </w:p>
        </w:tc>
      </w:tr>
      <w:tr>
        <w:trPr/>
        <w:tc>
          <w:tcPr>
            <w:tcW w:w="43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rPr/>
            </w:pPr>
            <w:r>
              <w:rPr>
                <w:rFonts w:cs="Times New Roman" w:ascii="Times New Roman" w:hAnsi="Times New Roman"/>
                <w:color w:val="000000"/>
                <w:sz w:val="20"/>
                <w:szCs w:val="20"/>
              </w:rPr>
              <w:t>Потреба підприємств у працівниках на заміщення вільних робочих місць</w:t>
            </w:r>
          </w:p>
          <w:p>
            <w:pPr>
              <w:pStyle w:val="Normal"/>
              <w:widowControl w:val="false"/>
              <w:spacing w:before="0" w:after="0"/>
              <w:rPr/>
            </w:pPr>
            <w:r>
              <w:rPr>
                <w:rFonts w:cs="Times New Roman" w:ascii="Times New Roman" w:hAnsi="Times New Roman"/>
                <w:color w:val="000000"/>
                <w:sz w:val="20"/>
                <w:szCs w:val="20"/>
              </w:rPr>
              <w:t>(середня річна), вакансії</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12131</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14759</w:t>
            </w:r>
          </w:p>
        </w:tc>
        <w:tc>
          <w:tcPr>
            <w:tcW w:w="89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14854</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8212</w:t>
            </w:r>
          </w:p>
        </w:tc>
        <w:tc>
          <w:tcPr>
            <w:tcW w:w="890"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7899</w:t>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5156</w:t>
            </w:r>
          </w:p>
        </w:tc>
      </w:tr>
      <w:tr>
        <w:trPr/>
        <w:tc>
          <w:tcPr>
            <w:tcW w:w="43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rPr/>
            </w:pPr>
            <w:r>
              <w:rPr>
                <w:rFonts w:cs="Times New Roman" w:ascii="Times New Roman" w:hAnsi="Times New Roman"/>
                <w:color w:val="000000"/>
                <w:sz w:val="20"/>
                <w:szCs w:val="20"/>
              </w:rPr>
              <w:t>Середньомісячна заробітна плата найманих працівників, грн</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5875</w:t>
            </w:r>
          </w:p>
        </w:tc>
        <w:tc>
          <w:tcPr>
            <w:tcW w:w="9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7356</w:t>
            </w:r>
          </w:p>
        </w:tc>
        <w:tc>
          <w:tcPr>
            <w:tcW w:w="89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9442</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8838</w:t>
            </w:r>
          </w:p>
        </w:tc>
        <w:tc>
          <w:tcPr>
            <w:tcW w:w="890" w:type="dxa"/>
            <w:tcBorders>
              <w:top w:val="single" w:sz="4" w:space="0" w:color="000000"/>
              <w:start w:val="single" w:sz="4" w:space="0" w:color="000000"/>
              <w:bottom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13072</w:t>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0" w:after="0"/>
              <w:jc w:val="center"/>
              <w:rPr/>
            </w:pPr>
            <w:r>
              <w:rPr>
                <w:rFonts w:cs="Times New Roman" w:ascii="Times New Roman" w:hAnsi="Times New Roman"/>
                <w:color w:val="000000"/>
                <w:sz w:val="20"/>
                <w:szCs w:val="20"/>
              </w:rPr>
              <w:t>-</w:t>
            </w:r>
          </w:p>
        </w:tc>
      </w:tr>
    </w:tbl>
    <w:p>
      <w:pPr>
        <w:pStyle w:val="Normal"/>
        <w:spacing w:before="0" w:after="0"/>
        <w:jc w:val="both"/>
        <w:rPr/>
      </w:pPr>
      <w:r>
        <w:rPr>
          <w:rFonts w:cs="Times New Roman" w:ascii="Times New Roman" w:hAnsi="Times New Roman"/>
          <w:color w:val="000000"/>
          <w:sz w:val="16"/>
          <w:szCs w:val="16"/>
        </w:rPr>
        <w:t>* У зв’язку з військовою агресією РФ проти України статистична інформація на сайті Головного управління статистики у Волинській області буде оприлюднена після завершення терміну подання статистичної звітності, встановленого Законом України «Про захист інтересів суб’єктів подання звітності та інших документів у період дії воєнного стану або стану війни».</w:t>
      </w:r>
    </w:p>
    <w:p>
      <w:pPr>
        <w:pStyle w:val="LO-normal"/>
        <w:spacing w:lineRule="auto" w:line="276"/>
        <w:ind w:firstLine="567"/>
        <w:jc w:val="both"/>
        <w:rPr/>
      </w:pPr>
      <w:r>
        <w:rPr>
          <w:color w:val="000000"/>
        </w:rPr>
        <w:t xml:space="preserve">Підприємництво та торгівля  </w:t>
      </w:r>
    </w:p>
    <w:p>
      <w:pPr>
        <w:pStyle w:val="Normal"/>
        <w:spacing w:before="0" w:after="0"/>
        <w:ind w:firstLine="567"/>
        <w:jc w:val="both"/>
        <w:rPr/>
      </w:pPr>
      <w:r>
        <w:rPr>
          <w:rFonts w:cs="Times New Roman" w:ascii="Times New Roman" w:hAnsi="Times New Roman"/>
          <w:color w:val="000000"/>
          <w:sz w:val="24"/>
          <w:szCs w:val="24"/>
        </w:rPr>
        <w:t xml:space="preserve">Динаміка зареєстрованих суб’єктів підприємницької діяльності (СПД) у Луцьку (2017-2019) та у Луцькій МТГ (2020-2024) свідчить про те, що загальна кількість СПД починаючи з 2020 року значно збільшилася у зв’язку із проведенням адміністративно-територіальної реформи в Україні та збільшення площі громади. </w:t>
      </w:r>
    </w:p>
    <w:p>
      <w:pPr>
        <w:pStyle w:val="Normal"/>
        <w:widowControl w:val="false"/>
        <w:spacing w:before="0" w:after="0"/>
        <w:ind w:firstLine="567"/>
        <w:jc w:val="both"/>
        <w:rPr/>
      </w:pPr>
      <w:r>
        <w:rPr>
          <w:rFonts w:cs="Times New Roman" w:ascii="Times New Roman" w:hAnsi="Times New Roman"/>
          <w:color w:val="000000"/>
          <w:sz w:val="24"/>
          <w:szCs w:val="24"/>
        </w:rPr>
        <w:t xml:space="preserve">На рисунку Д2.4. наведено динаміку кількості СПД Луцької МТГ </w:t>
      </w:r>
    </w:p>
    <w:p>
      <w:pPr>
        <w:pStyle w:val="Normal"/>
        <w:spacing w:before="0" w:after="0"/>
        <w:ind w:firstLine="709"/>
        <w:jc w:val="center"/>
        <w:rPr/>
      </w:pPr>
      <w:r>
        <w:rPr/>
        <w:drawing>
          <wp:inline distT="0" distB="0" distL="0" distR="0">
            <wp:extent cx="4154170" cy="2337435"/>
            <wp:effectExtent l="0" t="0" r="0" b="0"/>
            <wp:docPr id="30" name="Об'єкт34"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Normal"/>
        <w:widowControl w:val="false"/>
        <w:spacing w:before="0" w:after="0"/>
        <w:jc w:val="center"/>
        <w:rPr/>
      </w:pPr>
      <w:r>
        <w:rPr>
          <w:rFonts w:cs="Times New Roman" w:ascii="Times New Roman" w:hAnsi="Times New Roman"/>
          <w:color w:val="000000"/>
          <w:sz w:val="24"/>
          <w:szCs w:val="24"/>
        </w:rPr>
        <w:t xml:space="preserve">Рисунок Д2.4. Динаміка кількості СПД Луцької МТГ </w:t>
      </w:r>
    </w:p>
    <w:p>
      <w:pPr>
        <w:pStyle w:val="Normal"/>
        <w:spacing w:before="0" w:after="0"/>
        <w:ind w:firstLine="567"/>
        <w:jc w:val="both"/>
        <w:rPr/>
      </w:pPr>
      <w:r>
        <w:rPr>
          <w:rFonts w:cs="Times New Roman" w:ascii="Times New Roman" w:hAnsi="Times New Roman"/>
          <w:color w:val="000000"/>
          <w:sz w:val="24"/>
          <w:szCs w:val="24"/>
          <w:lang w:eastAsia="uk-UA"/>
        </w:rPr>
        <w:t>Вагомий внесок у промисловість міста зробили ПрАТ «СКФ Україна», ПрАТ «ВГП», ПрАТ «Теремно Хліб», ТОВ «Татрафан», ТОВ «Луцька картонно-паперова фабрика», ТОВ «Теріхем Тервакоскі», ТОВ «Лад бетон», ТОВ «Жасмін Лінжері», ТзОВ «Волинь-зерно-продукт», ПрАТ «Едельвіка», ТОВ «ЛРЗ «Мотор», ДП «АЗС №1» АТ «АК «Богдан Моторс», ДКП «Луцьктепло», які забезпечують понад половини загальноміського обсягу надходжень до бюджету громади.</w:t>
      </w:r>
    </w:p>
    <w:p>
      <w:pPr>
        <w:pStyle w:val="Normal"/>
        <w:widowControl w:val="false"/>
        <w:spacing w:before="0" w:after="0"/>
        <w:ind w:firstLine="567"/>
        <w:jc w:val="both"/>
        <w:rPr/>
      </w:pPr>
      <w:r>
        <w:rPr>
          <w:rFonts w:cs="Times New Roman" w:ascii="Times New Roman" w:hAnsi="Times New Roman"/>
          <w:bCs/>
          <w:color w:val="000000"/>
          <w:sz w:val="24"/>
          <w:szCs w:val="24"/>
        </w:rPr>
        <w:t>У населених пунктах міської громади нараховується понад 1000 об’єктів роздрібної торгівлі та ресторанного господарства. Функціонують орієнтовно: 35 супермаркетів, 15 торгових центрів, 76 мінімаркетів. Також у місті фактично функціонує 7 територіально окремо розміщених ринків з продажу продовольчих та непродовольчих товарів, як змішаного, так і спеціалізованого типу.</w:t>
      </w:r>
    </w:p>
    <w:p>
      <w:pPr>
        <w:pStyle w:val="Normal"/>
        <w:spacing w:before="0" w:after="0"/>
        <w:jc w:val="center"/>
        <w:rPr/>
      </w:pPr>
      <w:r>
        <w:rPr>
          <w:rFonts w:cs="Times New Roman" w:ascii="Times New Roman" w:hAnsi="Times New Roman"/>
          <w:color w:val="000000"/>
          <w:sz w:val="24"/>
          <w:szCs w:val="24"/>
        </w:rPr>
        <w:t>Таблиця Д2.3. Узагальнені економічні показники м. Луцька*</w:t>
      </w:r>
    </w:p>
    <w:tbl>
      <w:tblPr>
        <w:tblW w:w="9543"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2608"/>
        <w:gridCol w:w="865"/>
        <w:gridCol w:w="869"/>
        <w:gridCol w:w="865"/>
        <w:gridCol w:w="869"/>
        <w:gridCol w:w="865"/>
        <w:gridCol w:w="868"/>
        <w:gridCol w:w="866"/>
        <w:gridCol w:w="867"/>
      </w:tblGrid>
      <w:tr>
        <w:trPr/>
        <w:tc>
          <w:tcPr>
            <w:tcW w:w="26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cs="Times New Roman" w:ascii="Times New Roman" w:hAnsi="Times New Roman"/>
                <w:color w:val="000000"/>
                <w:sz w:val="20"/>
                <w:szCs w:val="20"/>
              </w:rPr>
              <w:t>Назва показника</w:t>
            </w:r>
          </w:p>
        </w:tc>
        <w:tc>
          <w:tcPr>
            <w:tcW w:w="6934" w:type="dxa"/>
            <w:gridSpan w:val="8"/>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ind w:hanging="1451"/>
              <w:jc w:val="center"/>
              <w:rPr/>
            </w:pPr>
            <w:r>
              <w:rPr>
                <w:rFonts w:cs="Times New Roman" w:ascii="Times New Roman" w:hAnsi="Times New Roman"/>
                <w:color w:val="000000"/>
                <w:sz w:val="20"/>
                <w:szCs w:val="20"/>
              </w:rPr>
              <w:t>Роки</w:t>
            </w:r>
          </w:p>
        </w:tc>
      </w:tr>
      <w:tr>
        <w:trPr/>
        <w:tc>
          <w:tcPr>
            <w:tcW w:w="260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rPr/>
            </w:pPr>
            <w:r>
              <w:rPr>
                <w:rFonts w:cs="Times New Roman" w:ascii="Times New Roman" w:hAnsi="Times New Roman"/>
                <w:color w:val="000000"/>
                <w:sz w:val="20"/>
                <w:szCs w:val="20"/>
              </w:rPr>
              <w:t>2017</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rPr/>
            </w:pPr>
            <w:r>
              <w:rPr>
                <w:rFonts w:cs="Times New Roman" w:ascii="Times New Roman" w:hAnsi="Times New Roman"/>
                <w:color w:val="000000"/>
                <w:sz w:val="20"/>
                <w:szCs w:val="20"/>
              </w:rPr>
              <w:t>2018</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cs="Times New Roman" w:ascii="Times New Roman" w:hAnsi="Times New Roman"/>
                <w:color w:val="000000"/>
                <w:sz w:val="20"/>
                <w:szCs w:val="20"/>
              </w:rPr>
              <w:t>2019</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cs="Times New Roman" w:ascii="Times New Roman" w:hAnsi="Times New Roman"/>
                <w:color w:val="000000"/>
                <w:sz w:val="20"/>
                <w:szCs w:val="20"/>
              </w:rPr>
              <w:t>2020</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cs="Times New Roman" w:ascii="Times New Roman" w:hAnsi="Times New Roman"/>
                <w:color w:val="000000"/>
                <w:sz w:val="20"/>
                <w:szCs w:val="20"/>
              </w:rPr>
              <w:t>2021</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cs="Times New Roman" w:ascii="Times New Roman" w:hAnsi="Times New Roman"/>
                <w:color w:val="000000"/>
                <w:sz w:val="20"/>
                <w:szCs w:val="20"/>
              </w:rPr>
              <w:t>2022</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2023</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2024</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Зареєстровані суб’єкти господарської діяльності (од.)</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14469</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12992</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14050</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25158</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27444</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28502</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29345</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31744</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Зареєстровані юридичні особи</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2745</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2849</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3094</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12336</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12919</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13431</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13673</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14429</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Зареєстровані фізичні особи-підприємці (од.)</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11724</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10143</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10956</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12822</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14525</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15071</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15672</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17315</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Кількість малих підприємств (од.)</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2609</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2712</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2933</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2993</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Обсяг реалізованої продукції (товарів, послуг), млрд грн</w:t>
            </w:r>
          </w:p>
        </w:tc>
        <w:tc>
          <w:tcPr>
            <w:tcW w:w="865" w:type="dxa"/>
            <w:tcBorders>
              <w:top w:val="single" w:sz="4" w:space="0" w:color="000000"/>
              <w:start w:val="single" w:sz="4" w:space="0" w:color="000000"/>
              <w:bottom w:val="single" w:sz="4" w:space="0" w:color="000000"/>
              <w:end w:val="single" w:sz="4" w:space="0" w:color="000000"/>
            </w:tcBorders>
            <w:tcMar>
              <w:start w:w="28" w:type="dxa"/>
              <w:end w:w="28"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11,4</w:t>
            </w:r>
          </w:p>
        </w:tc>
        <w:tc>
          <w:tcPr>
            <w:tcW w:w="869" w:type="dxa"/>
            <w:tcBorders>
              <w:top w:val="single" w:sz="4" w:space="0" w:color="000000"/>
              <w:start w:val="single" w:sz="4" w:space="0" w:color="000000"/>
              <w:bottom w:val="single" w:sz="4" w:space="0" w:color="000000"/>
              <w:end w:val="single" w:sz="4" w:space="0" w:color="000000"/>
            </w:tcBorders>
            <w:tcMar>
              <w:start w:w="28" w:type="dxa"/>
              <w:end w:w="28"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12,2</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12,6</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12,9</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14,7</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Обсяги експорту товарів, послуг</w:t>
            </w:r>
          </w:p>
          <w:p>
            <w:pPr>
              <w:pStyle w:val="Normal"/>
              <w:widowControl w:val="false"/>
              <w:spacing w:lineRule="auto" w:line="240" w:before="0" w:after="0"/>
              <w:rPr/>
            </w:pPr>
            <w:r>
              <w:rPr>
                <w:rFonts w:cs="Times New Roman" w:ascii="Times New Roman" w:hAnsi="Times New Roman"/>
                <w:color w:val="000000"/>
                <w:sz w:val="20"/>
                <w:szCs w:val="20"/>
              </w:rPr>
              <w:t>(млрд дол. США)</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180,2</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203,8</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173,1</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153,6</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197,4</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Обсяги імпорту товарів, послуг</w:t>
            </w:r>
          </w:p>
          <w:p>
            <w:pPr>
              <w:pStyle w:val="Normal"/>
              <w:widowControl w:val="false"/>
              <w:spacing w:lineRule="auto" w:line="240" w:before="0" w:after="0"/>
              <w:rPr/>
            </w:pPr>
            <w:r>
              <w:rPr>
                <w:rFonts w:cs="Times New Roman" w:ascii="Times New Roman" w:hAnsi="Times New Roman"/>
                <w:color w:val="000000"/>
                <w:sz w:val="20"/>
                <w:szCs w:val="20"/>
              </w:rPr>
              <w:t>(млрд дол. США)</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898,4</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932,7</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919,9</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870,9</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1177,9</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r>
      <w:tr>
        <w:trPr/>
        <w:tc>
          <w:tcPr>
            <w:tcW w:w="26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color w:val="000000"/>
                <w:sz w:val="20"/>
                <w:szCs w:val="20"/>
              </w:rPr>
              <w:t>Обсяг прямих іноземних інвестицій (акціонерного капіталу), млн дол. США</w:t>
            </w:r>
          </w:p>
        </w:tc>
        <w:tc>
          <w:tcPr>
            <w:tcW w:w="865"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95,7</w:t>
            </w:r>
          </w:p>
        </w:tc>
        <w:tc>
          <w:tcPr>
            <w:tcW w:w="869" w:type="dxa"/>
            <w:tcBorders>
              <w:top w:val="single" w:sz="4" w:space="0" w:color="000000"/>
              <w:start w:val="single" w:sz="4" w:space="0" w:color="000000"/>
              <w:bottom w:val="single" w:sz="4" w:space="0" w:color="000000"/>
              <w:end w:val="single" w:sz="4" w:space="0" w:color="000000"/>
            </w:tcBorders>
            <w:tcMar>
              <w:start w:w="57" w:type="dxa"/>
              <w:end w:w="57" w:type="dxa"/>
            </w:tcMar>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93,4</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97,6</w:t>
            </w:r>
          </w:p>
        </w:tc>
        <w:tc>
          <w:tcPr>
            <w:tcW w:w="86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cs="Times New Roman" w:ascii="Times New Roman" w:hAnsi="Times New Roman"/>
                <w:color w:val="000000"/>
                <w:sz w:val="20"/>
                <w:szCs w:val="20"/>
              </w:rPr>
              <w:t>-</w:t>
            </w:r>
          </w:p>
        </w:tc>
        <w:tc>
          <w:tcPr>
            <w:tcW w:w="866"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c>
          <w:tcPr>
            <w:tcW w:w="8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textAlignment w:val="center"/>
              <w:rPr/>
            </w:pPr>
            <w:r>
              <w:rPr>
                <w:rFonts w:ascii="Times New Roman" w:hAnsi="Times New Roman"/>
                <w:color w:val="000000"/>
                <w:sz w:val="20"/>
                <w:szCs w:val="20"/>
              </w:rPr>
              <w:t>-</w:t>
            </w:r>
          </w:p>
        </w:tc>
      </w:tr>
    </w:tbl>
    <w:p>
      <w:pPr>
        <w:pStyle w:val="Normal"/>
        <w:spacing w:before="0" w:after="0"/>
        <w:jc w:val="both"/>
        <w:rPr/>
      </w:pPr>
      <w:r>
        <w:rPr>
          <w:rFonts w:cs="Times New Roman" w:ascii="Times New Roman" w:hAnsi="Times New Roman"/>
          <w:color w:val="000000"/>
          <w:sz w:val="16"/>
          <w:szCs w:val="16"/>
        </w:rPr>
        <w:t>* У зв’язку із збройною агресією РФ проти України статистична інформація на сайті Головного управління статистики у Волинській області буде оприлюднена після завершення терміну подання статистичної звітності, встановленого Законом України «Про захист інтересів суб’єктів подання звітності та інших документів у період дії воєнного стану або стану війни».</w:t>
      </w:r>
    </w:p>
    <w:p>
      <w:pPr>
        <w:pStyle w:val="111"/>
        <w:ind w:start="709"/>
        <w:rPr/>
      </w:pPr>
      <w:bookmarkStart w:id="79" w:name="__RefHeading___Toc27578_429042107"/>
      <w:bookmarkStart w:id="80" w:name="_Toc188020985"/>
      <w:bookmarkStart w:id="81" w:name="_Toc172718924_копія_1"/>
      <w:bookmarkStart w:id="82" w:name="n418_копія_1"/>
      <w:bookmarkEnd w:id="79"/>
      <w:bookmarkEnd w:id="82"/>
      <w:r>
        <w:rPr>
          <w:rFonts w:cs="Times New Roman" w:ascii="Times New Roman" w:hAnsi="Times New Roman"/>
          <w:b/>
          <w:bCs/>
          <w:color w:val="auto"/>
          <w:sz w:val="24"/>
          <w:szCs w:val="24"/>
          <w:lang w:eastAsia="uk-UA"/>
        </w:rPr>
        <w:t>Д2.2. Визначення секторів енергетичного планування</w:t>
      </w:r>
      <w:bookmarkEnd w:id="80"/>
      <w:bookmarkEnd w:id="81"/>
    </w:p>
    <w:p>
      <w:pPr>
        <w:pStyle w:val="Normal"/>
        <w:spacing w:before="0" w:after="0"/>
        <w:ind w:firstLine="567"/>
        <w:jc w:val="both"/>
        <w:rPr/>
      </w:pPr>
      <w:r>
        <w:rPr>
          <w:rFonts w:eastAsia="Times New Roman" w:cs="Times New Roman" w:ascii="Times New Roman" w:hAnsi="Times New Roman"/>
          <w:color w:val="000000"/>
          <w:sz w:val="24"/>
          <w:szCs w:val="24"/>
          <w:shd w:fill="FFFFFF" w:val="clear"/>
          <w:lang w:eastAsia="uk-UA"/>
        </w:rPr>
        <w:t>За результатами оцінки структури енергоспоживання для потреб енергетичного планування виділені наступні сектори кінцевих споживачів:</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громадські будівлі муніципального підпорядкування;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сфера водопостачання і водовідведення;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зовнішнє освітлення;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житлові будівлі;</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сфера теплопостачання;</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управління побутовими відходами;</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третинний сектор;</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громадський транспорт та відповідна інфраструктура;</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муніципальний транспорт (крім транспорту для громадських перевезень);</w:t>
      </w:r>
    </w:p>
    <w:p>
      <w:pPr>
        <w:pStyle w:val="Normal"/>
        <w:spacing w:before="0" w:after="0"/>
        <w:ind w:start="567"/>
        <w:jc w:val="both"/>
        <w:rPr/>
      </w:pPr>
      <w:r>
        <w:rPr>
          <w:rFonts w:eastAsia="Times New Roman" w:cs="Times New Roman" w:ascii="Times New Roman" w:hAnsi="Times New Roman"/>
          <w:color w:val="000000"/>
          <w:sz w:val="24"/>
          <w:szCs w:val="24"/>
          <w:shd w:fill="FFFFFF" w:val="clear"/>
          <w:lang w:eastAsia="uk-UA"/>
        </w:rPr>
        <w:t>приватний та комерційний транспорт.</w:t>
      </w:r>
    </w:p>
    <w:p>
      <w:pPr>
        <w:pStyle w:val="111"/>
        <w:ind w:start="720"/>
        <w:rPr/>
      </w:pPr>
      <w:bookmarkStart w:id="83" w:name="__RefHeading___Toc27580_429042107"/>
      <w:bookmarkStart w:id="84" w:name="_Toc188020986"/>
      <w:bookmarkStart w:id="85" w:name="_Toc172718926_копія_1"/>
      <w:bookmarkEnd w:id="83"/>
      <w:r>
        <w:rPr>
          <w:rFonts w:ascii="Times New Roman" w:hAnsi="Times New Roman"/>
          <w:b/>
          <w:bCs/>
          <w:color w:val="000000"/>
          <w:sz w:val="24"/>
          <w:szCs w:val="24"/>
          <w:lang w:eastAsia="uk-UA"/>
        </w:rPr>
        <w:t>Д2.3. Основні характеристики секторів енергетичного планування</w:t>
      </w:r>
      <w:bookmarkEnd w:id="84"/>
      <w:bookmarkEnd w:id="85"/>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Д2.3.1. Громадські будівлі муніципального підпорядкування</w:t>
      </w:r>
    </w:p>
    <w:p>
      <w:pPr>
        <w:pStyle w:val="Normal"/>
        <w:spacing w:before="0" w:after="0"/>
        <w:ind w:firstLine="510"/>
        <w:jc w:val="both"/>
        <w:rPr/>
      </w:pPr>
      <w:r>
        <w:rPr>
          <w:rFonts w:eastAsia="NSimSun" w:cs="Times New Roman" w:ascii="Times New Roman" w:hAnsi="Times New Roman"/>
          <w:kern w:val="2"/>
          <w:sz w:val="24"/>
          <w:szCs w:val="24"/>
          <w:lang w:eastAsia="zh-CN" w:bidi="hi-IN"/>
        </w:rPr>
        <w:t>Після проведення в Україні адміністративно-територіальної реформи та створення Луцької МТГ загальна кількість г</w:t>
      </w:r>
      <w:r>
        <w:rPr>
          <w:rFonts w:eastAsia="NSimSun" w:cs="Times New Roman" w:ascii="Times New Roman" w:hAnsi="Times New Roman"/>
          <w:color w:val="000000"/>
          <w:kern w:val="2"/>
          <w:sz w:val="24"/>
          <w:szCs w:val="24"/>
          <w:lang w:eastAsia="zh-CN" w:bidi="hi-IN"/>
        </w:rPr>
        <w:t>ромадських будівель муніципального підпорядкування</w:t>
      </w:r>
      <w:r>
        <w:rPr>
          <w:rFonts w:eastAsia="NSimSun" w:cs="Times New Roman" w:ascii="Times New Roman" w:hAnsi="Times New Roman"/>
          <w:kern w:val="2"/>
          <w:sz w:val="24"/>
          <w:szCs w:val="24"/>
          <w:lang w:eastAsia="zh-CN" w:bidi="hi-IN"/>
        </w:rPr>
        <w:t>, за наявними даними станом на 01.01.2025 склала 213 одиниць.</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В основному, муніципальні будівлі належать до об’єктів, що споживають велику кількість енергоресурсів (особливо в частині теплоспоживання) та мають високий рівень витрат на експлуатацію. </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Обсяги споживання енергетичних ресурсів муніципальними установами та підприємствами, що фінансуються з бюджету Луцької МТГ, приведено у таблиці </w:t>
      </w:r>
      <w:r>
        <w:rPr>
          <w:rFonts w:eastAsia="NSimSun" w:cs="Times New Roman" w:ascii="Times New Roman" w:hAnsi="Times New Roman"/>
          <w:color w:val="000000"/>
          <w:kern w:val="2"/>
          <w:sz w:val="24"/>
          <w:szCs w:val="24"/>
          <w:lang w:eastAsia="zh-CN" w:bidi="hi-IN"/>
        </w:rPr>
        <w:t>Д2.4.</w:t>
      </w:r>
    </w:p>
    <w:p>
      <w:pPr>
        <w:pStyle w:val="Normal"/>
        <w:spacing w:before="0" w:after="0"/>
        <w:ind w:firstLine="510"/>
        <w:jc w:val="center"/>
        <w:rPr/>
      </w:pPr>
      <w:r>
        <w:rPr>
          <w:rFonts w:eastAsia="NSimSun" w:cs="Times New Roman" w:ascii="Times New Roman" w:hAnsi="Times New Roman"/>
          <w:color w:val="000000"/>
          <w:kern w:val="2"/>
          <w:sz w:val="24"/>
          <w:szCs w:val="24"/>
          <w:lang w:eastAsia="zh-CN" w:bidi="hi-IN"/>
        </w:rPr>
        <w:t>Таблиця Д2.4. Обсяги споживання енергоресурсів громадськими будівлями муніципального підпорядкування (МВт.год)</w:t>
      </w:r>
    </w:p>
    <w:tbl>
      <w:tblPr>
        <w:tblW w:w="9826" w:type="dxa"/>
        <w:jc w:val="start"/>
        <w:tblInd w:w="28" w:type="dxa"/>
        <w:tblLayout w:type="fixed"/>
        <w:tblCellMar>
          <w:top w:w="0" w:type="dxa"/>
          <w:start w:w="28" w:type="dxa"/>
          <w:bottom w:w="0" w:type="dxa"/>
          <w:end w:w="28" w:type="dxa"/>
        </w:tblCellMar>
        <w:tblLook w:firstRow="1" w:noVBand="1" w:lastRow="0" w:firstColumn="1" w:lastColumn="0" w:noHBand="0" w:val="04a0"/>
      </w:tblPr>
      <w:tblGrid>
        <w:gridCol w:w="1833"/>
        <w:gridCol w:w="990"/>
        <w:gridCol w:w="1011"/>
        <w:gridCol w:w="999"/>
        <w:gridCol w:w="996"/>
        <w:gridCol w:w="1004"/>
        <w:gridCol w:w="997"/>
        <w:gridCol w:w="996"/>
        <w:gridCol w:w="999"/>
      </w:tblGrid>
      <w:tr>
        <w:trPr>
          <w:trHeight w:val="570" w:hRule="atLeast"/>
        </w:trPr>
        <w:tc>
          <w:tcPr>
            <w:tcW w:w="1833"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Сектори кінцевих споживачів енергетичного планування</w:t>
            </w:r>
          </w:p>
        </w:tc>
        <w:tc>
          <w:tcPr>
            <w:tcW w:w="990"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2017</w:t>
            </w:r>
          </w:p>
        </w:tc>
        <w:tc>
          <w:tcPr>
            <w:tcW w:w="1011"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2018</w:t>
            </w:r>
          </w:p>
        </w:tc>
        <w:tc>
          <w:tcPr>
            <w:tcW w:w="999"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2019</w:t>
            </w:r>
          </w:p>
        </w:tc>
        <w:tc>
          <w:tcPr>
            <w:tcW w:w="996"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2020</w:t>
            </w:r>
          </w:p>
        </w:tc>
        <w:tc>
          <w:tcPr>
            <w:tcW w:w="1004"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2021</w:t>
            </w:r>
          </w:p>
        </w:tc>
        <w:tc>
          <w:tcPr>
            <w:tcW w:w="997"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2022</w:t>
            </w:r>
          </w:p>
        </w:tc>
        <w:tc>
          <w:tcPr>
            <w:tcW w:w="996" w:type="dxa"/>
            <w:tcBorders>
              <w:top w:val="single" w:sz="2" w:space="0" w:color="000000"/>
              <w:start w:val="single" w:sz="2" w:space="0" w:color="000000"/>
              <w:bottom w:val="single" w:sz="2" w:space="0" w:color="000000"/>
            </w:tcBorders>
            <w:vAlign w:val="center"/>
          </w:tcPr>
          <w:p>
            <w:pPr>
              <w:pStyle w:val="Normal"/>
              <w:spacing w:lineRule="auto" w:line="240" w:before="0" w:after="0"/>
              <w:jc w:val="center"/>
              <w:rPr/>
            </w:pPr>
            <w:r>
              <w:rPr>
                <w:rFonts w:ascii="Times New Roman" w:hAnsi="Times New Roman"/>
                <w:sz w:val="20"/>
                <w:szCs w:val="20"/>
              </w:rPr>
              <w:t>2023</w:t>
            </w:r>
          </w:p>
        </w:tc>
        <w:tc>
          <w:tcPr>
            <w:tcW w:w="99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40" w:before="0" w:after="0"/>
              <w:jc w:val="center"/>
              <w:rPr/>
            </w:pPr>
            <w:r>
              <w:rPr>
                <w:rFonts w:ascii="Times New Roman" w:hAnsi="Times New Roman"/>
                <w:sz w:val="20"/>
                <w:szCs w:val="20"/>
              </w:rPr>
              <w:t>2024</w:t>
            </w:r>
          </w:p>
        </w:tc>
      </w:tr>
      <w:tr>
        <w:trPr>
          <w:trHeight w:val="300" w:hRule="atLeast"/>
        </w:trPr>
        <w:tc>
          <w:tcPr>
            <w:tcW w:w="1833" w:type="dxa"/>
            <w:tcBorders>
              <w:start w:val="single" w:sz="2" w:space="0" w:color="000000"/>
              <w:bottom w:val="single" w:sz="2" w:space="0" w:color="000000"/>
            </w:tcBorders>
            <w:vAlign w:val="bottom"/>
          </w:tcPr>
          <w:p>
            <w:pPr>
              <w:pStyle w:val="Normal"/>
              <w:spacing w:lineRule="auto" w:line="240" w:before="0" w:after="0"/>
              <w:rPr/>
            </w:pPr>
            <w:r>
              <w:rPr>
                <w:rFonts w:ascii="Times New Roman" w:hAnsi="Times New Roman"/>
                <w:sz w:val="20"/>
                <w:szCs w:val="20"/>
              </w:rPr>
              <w:t>Теплова енергія</w:t>
            </w:r>
          </w:p>
        </w:tc>
        <w:tc>
          <w:tcPr>
            <w:tcW w:w="990"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63848,7</w:t>
            </w:r>
          </w:p>
        </w:tc>
        <w:tc>
          <w:tcPr>
            <w:tcW w:w="1011"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62220,5</w:t>
            </w:r>
          </w:p>
        </w:tc>
        <w:tc>
          <w:tcPr>
            <w:tcW w:w="999"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54544,7</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57219,6</w:t>
            </w:r>
          </w:p>
        </w:tc>
        <w:tc>
          <w:tcPr>
            <w:tcW w:w="1004"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49543,8</w:t>
            </w:r>
          </w:p>
        </w:tc>
        <w:tc>
          <w:tcPr>
            <w:tcW w:w="997"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48497,1</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47101,5</w:t>
            </w:r>
          </w:p>
        </w:tc>
        <w:tc>
          <w:tcPr>
            <w:tcW w:w="999" w:type="dxa"/>
            <w:tcBorders>
              <w:start w:val="single" w:sz="2" w:space="0" w:color="000000"/>
              <w:bottom w:val="single" w:sz="2" w:space="0" w:color="000000"/>
              <w:end w:val="single" w:sz="2" w:space="0" w:color="000000"/>
            </w:tcBorders>
            <w:vAlign w:val="bottom"/>
          </w:tcPr>
          <w:p>
            <w:pPr>
              <w:pStyle w:val="Style25"/>
              <w:spacing w:before="0" w:after="0"/>
              <w:jc w:val="center"/>
              <w:rPr/>
            </w:pPr>
            <w:r>
              <w:rPr>
                <w:rFonts w:ascii="Times New Roman" w:hAnsi="Times New Roman"/>
                <w:color w:val="000000"/>
                <w:sz w:val="20"/>
                <w:szCs w:val="20"/>
              </w:rPr>
              <w:t>48697,7</w:t>
            </w:r>
          </w:p>
        </w:tc>
      </w:tr>
      <w:tr>
        <w:trPr>
          <w:trHeight w:val="300" w:hRule="atLeast"/>
        </w:trPr>
        <w:tc>
          <w:tcPr>
            <w:tcW w:w="1833" w:type="dxa"/>
            <w:tcBorders>
              <w:start w:val="single" w:sz="2" w:space="0" w:color="000000"/>
              <w:bottom w:val="single" w:sz="2" w:space="0" w:color="000000"/>
            </w:tcBorders>
            <w:vAlign w:val="bottom"/>
          </w:tcPr>
          <w:p>
            <w:pPr>
              <w:pStyle w:val="Normal"/>
              <w:spacing w:lineRule="auto" w:line="240" w:before="0" w:after="0"/>
              <w:rPr/>
            </w:pPr>
            <w:r>
              <w:rPr>
                <w:rFonts w:ascii="Times New Roman" w:hAnsi="Times New Roman"/>
                <w:sz w:val="20"/>
                <w:szCs w:val="20"/>
              </w:rPr>
              <w:t>Природний газ</w:t>
            </w:r>
          </w:p>
        </w:tc>
        <w:tc>
          <w:tcPr>
            <w:tcW w:w="990"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36651,9</w:t>
            </w:r>
          </w:p>
        </w:tc>
        <w:tc>
          <w:tcPr>
            <w:tcW w:w="1011"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32892,4</w:t>
            </w:r>
          </w:p>
        </w:tc>
        <w:tc>
          <w:tcPr>
            <w:tcW w:w="999"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29125,0</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27048,6</w:t>
            </w:r>
          </w:p>
        </w:tc>
        <w:tc>
          <w:tcPr>
            <w:tcW w:w="1004"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29128,6</w:t>
            </w:r>
          </w:p>
        </w:tc>
        <w:tc>
          <w:tcPr>
            <w:tcW w:w="997"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23938,6</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27544,9</w:t>
            </w:r>
          </w:p>
        </w:tc>
        <w:tc>
          <w:tcPr>
            <w:tcW w:w="999" w:type="dxa"/>
            <w:tcBorders>
              <w:start w:val="single" w:sz="2" w:space="0" w:color="000000"/>
              <w:bottom w:val="single" w:sz="2" w:space="0" w:color="000000"/>
              <w:end w:val="single" w:sz="2" w:space="0" w:color="000000"/>
            </w:tcBorders>
            <w:vAlign w:val="bottom"/>
          </w:tcPr>
          <w:p>
            <w:pPr>
              <w:pStyle w:val="Style25"/>
              <w:spacing w:before="0" w:after="0"/>
              <w:jc w:val="center"/>
              <w:rPr/>
            </w:pPr>
            <w:r>
              <w:rPr>
                <w:rFonts w:ascii="Times New Roman" w:hAnsi="Times New Roman"/>
                <w:color w:val="000000"/>
                <w:sz w:val="20"/>
                <w:szCs w:val="20"/>
              </w:rPr>
              <w:t>27583,8</w:t>
            </w:r>
          </w:p>
        </w:tc>
      </w:tr>
      <w:tr>
        <w:trPr>
          <w:trHeight w:val="300" w:hRule="atLeast"/>
        </w:trPr>
        <w:tc>
          <w:tcPr>
            <w:tcW w:w="1833" w:type="dxa"/>
            <w:tcBorders>
              <w:start w:val="single" w:sz="2" w:space="0" w:color="000000"/>
              <w:bottom w:val="single" w:sz="2" w:space="0" w:color="000000"/>
            </w:tcBorders>
            <w:vAlign w:val="bottom"/>
          </w:tcPr>
          <w:p>
            <w:pPr>
              <w:pStyle w:val="Normal"/>
              <w:spacing w:lineRule="auto" w:line="240" w:before="0" w:after="0"/>
              <w:rPr/>
            </w:pPr>
            <w:r>
              <w:rPr>
                <w:rFonts w:ascii="Times New Roman" w:hAnsi="Times New Roman"/>
                <w:sz w:val="20"/>
                <w:szCs w:val="20"/>
              </w:rPr>
              <w:t>Електроенергія</w:t>
            </w:r>
          </w:p>
        </w:tc>
        <w:tc>
          <w:tcPr>
            <w:tcW w:w="990"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25607,0</w:t>
            </w:r>
          </w:p>
        </w:tc>
        <w:tc>
          <w:tcPr>
            <w:tcW w:w="1011"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29821,0</w:t>
            </w:r>
          </w:p>
        </w:tc>
        <w:tc>
          <w:tcPr>
            <w:tcW w:w="999"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28380,0</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25006,0</w:t>
            </w:r>
          </w:p>
        </w:tc>
        <w:tc>
          <w:tcPr>
            <w:tcW w:w="1004"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30955,0</w:t>
            </w:r>
          </w:p>
        </w:tc>
        <w:tc>
          <w:tcPr>
            <w:tcW w:w="997"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29762,0</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26588,0</w:t>
            </w:r>
          </w:p>
        </w:tc>
        <w:tc>
          <w:tcPr>
            <w:tcW w:w="999" w:type="dxa"/>
            <w:tcBorders>
              <w:start w:val="single" w:sz="2" w:space="0" w:color="000000"/>
              <w:bottom w:val="single" w:sz="2" w:space="0" w:color="000000"/>
              <w:end w:val="single" w:sz="2" w:space="0" w:color="000000"/>
            </w:tcBorders>
            <w:vAlign w:val="bottom"/>
          </w:tcPr>
          <w:p>
            <w:pPr>
              <w:pStyle w:val="Style25"/>
              <w:spacing w:before="0" w:after="0"/>
              <w:jc w:val="center"/>
              <w:rPr/>
            </w:pPr>
            <w:r>
              <w:rPr>
                <w:rFonts w:ascii="Times New Roman" w:hAnsi="Times New Roman"/>
                <w:color w:val="000000"/>
                <w:sz w:val="20"/>
                <w:szCs w:val="20"/>
              </w:rPr>
              <w:t>22121,7</w:t>
            </w:r>
          </w:p>
        </w:tc>
      </w:tr>
      <w:tr>
        <w:trPr>
          <w:trHeight w:val="300" w:hRule="atLeast"/>
        </w:trPr>
        <w:tc>
          <w:tcPr>
            <w:tcW w:w="1833" w:type="dxa"/>
            <w:tcBorders>
              <w:start w:val="single" w:sz="2" w:space="0" w:color="000000"/>
              <w:bottom w:val="single" w:sz="2" w:space="0" w:color="000000"/>
            </w:tcBorders>
            <w:vAlign w:val="bottom"/>
          </w:tcPr>
          <w:p>
            <w:pPr>
              <w:pStyle w:val="Normal"/>
              <w:spacing w:lineRule="auto" w:line="240" w:before="0" w:after="0"/>
              <w:rPr/>
            </w:pPr>
            <w:r>
              <w:rPr>
                <w:rFonts w:ascii="Times New Roman" w:hAnsi="Times New Roman"/>
                <w:sz w:val="20"/>
                <w:szCs w:val="20"/>
              </w:rPr>
              <w:t>Деревина</w:t>
            </w:r>
          </w:p>
        </w:tc>
        <w:tc>
          <w:tcPr>
            <w:tcW w:w="990"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0,0</w:t>
            </w:r>
          </w:p>
        </w:tc>
        <w:tc>
          <w:tcPr>
            <w:tcW w:w="1011"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0,0</w:t>
            </w:r>
          </w:p>
        </w:tc>
        <w:tc>
          <w:tcPr>
            <w:tcW w:w="999"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0,0</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0,0</w:t>
            </w:r>
          </w:p>
        </w:tc>
        <w:tc>
          <w:tcPr>
            <w:tcW w:w="1004"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655,2</w:t>
            </w:r>
          </w:p>
        </w:tc>
        <w:tc>
          <w:tcPr>
            <w:tcW w:w="997"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879,1</w:t>
            </w:r>
          </w:p>
        </w:tc>
        <w:tc>
          <w:tcPr>
            <w:tcW w:w="996" w:type="dxa"/>
            <w:tcBorders>
              <w:start w:val="single" w:sz="2" w:space="0" w:color="000000"/>
              <w:bottom w:val="single" w:sz="2" w:space="0" w:color="000000"/>
            </w:tcBorders>
            <w:vAlign w:val="bottom"/>
          </w:tcPr>
          <w:p>
            <w:pPr>
              <w:pStyle w:val="Style25"/>
              <w:spacing w:before="0" w:after="0"/>
              <w:jc w:val="center"/>
              <w:rPr/>
            </w:pPr>
            <w:r>
              <w:rPr>
                <w:rFonts w:ascii="Times New Roman" w:hAnsi="Times New Roman"/>
                <w:color w:val="000000"/>
                <w:sz w:val="20"/>
                <w:szCs w:val="20"/>
              </w:rPr>
              <w:t>1655,9</w:t>
            </w:r>
          </w:p>
        </w:tc>
        <w:tc>
          <w:tcPr>
            <w:tcW w:w="999" w:type="dxa"/>
            <w:tcBorders>
              <w:start w:val="single" w:sz="2" w:space="0" w:color="000000"/>
              <w:bottom w:val="single" w:sz="2" w:space="0" w:color="000000"/>
              <w:end w:val="single" w:sz="2" w:space="0" w:color="000000"/>
            </w:tcBorders>
            <w:vAlign w:val="bottom"/>
          </w:tcPr>
          <w:p>
            <w:pPr>
              <w:pStyle w:val="Style25"/>
              <w:spacing w:before="0" w:after="0"/>
              <w:jc w:val="center"/>
              <w:rPr/>
            </w:pPr>
            <w:r>
              <w:rPr>
                <w:rFonts w:ascii="Times New Roman" w:hAnsi="Times New Roman"/>
                <w:color w:val="000000"/>
                <w:sz w:val="20"/>
                <w:szCs w:val="20"/>
              </w:rPr>
              <w:t>1712,0</w:t>
            </w:r>
          </w:p>
        </w:tc>
      </w:tr>
    </w:tbl>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Будівлі муніципальної сфери мають опалення від централізованої системи теплопостачання, а також за рахунок власних котелень, що використовують в якості палива: природний газ, деревину та частково вугілля.</w:t>
      </w:r>
    </w:p>
    <w:p>
      <w:pPr>
        <w:pStyle w:val="Normal"/>
        <w:spacing w:before="0" w:after="0"/>
        <w:ind w:firstLine="510"/>
        <w:jc w:val="both"/>
        <w:rPr/>
      </w:pPr>
      <w:r>
        <w:rPr>
          <w:rFonts w:eastAsia="NSimSun" w:cs="Times New Roman" w:ascii="Times New Roman" w:hAnsi="Times New Roman"/>
          <w:kern w:val="2"/>
          <w:sz w:val="24"/>
          <w:szCs w:val="24"/>
          <w:lang w:eastAsia="zh-CN" w:bidi="hi-IN"/>
        </w:rPr>
        <w:t>Обсяги споживання тепла від централізованої системи опалення в муніципальних будівлях представлено на рисунку Д2.5.</w:t>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34">
            <wp:simplePos x="0" y="0"/>
            <wp:positionH relativeFrom="column">
              <wp:align>center</wp:align>
            </wp:positionH>
            <wp:positionV relativeFrom="paragraph">
              <wp:posOffset>635</wp:posOffset>
            </wp:positionV>
            <wp:extent cx="3750310" cy="2109470"/>
            <wp:effectExtent l="0" t="0" r="0" b="0"/>
            <wp:wrapSquare wrapText="largest"/>
            <wp:docPr id="31" name="Об'єкт22"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cs="Times New Roman"/>
        </w:rPr>
      </w:pPr>
      <w:r>
        <w:rPr>
          <w:rFonts w:cs="Times New Roman" w:ascii="Times New Roman" w:hAnsi="Times New Roma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center"/>
        <w:rPr/>
      </w:pPr>
      <w:r>
        <w:rPr>
          <w:rFonts w:eastAsia="NSimSun" w:cs="Times New Roman" w:ascii="Times New Roman" w:hAnsi="Times New Roman"/>
          <w:color w:val="000000"/>
          <w:kern w:val="2"/>
          <w:sz w:val="24"/>
          <w:szCs w:val="24"/>
          <w:lang w:eastAsia="zh-CN" w:bidi="hi-IN"/>
        </w:rPr>
        <w:t xml:space="preserve">Рисунок Д2.5. Обсяги споживання енергоресурсів в муніципальних будівлях, МВт.год </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На рисунку Д2.6. представлено співвідношення споживання енергоресурсів у 2017 та 2024 роках </w:t>
      </w:r>
      <w:r>
        <w:rPr>
          <w:rFonts w:eastAsia="NSimSun" w:cs="Times New Roman" w:ascii="Times New Roman" w:hAnsi="Times New Roman"/>
          <w:color w:val="000000"/>
          <w:kern w:val="2"/>
          <w:sz w:val="24"/>
          <w:szCs w:val="24"/>
          <w:shd w:fill="FFFFFF" w:val="clear"/>
          <w:lang w:eastAsia="zh-CN" w:bidi="hi-IN"/>
        </w:rPr>
        <w:t>по муніципальних</w:t>
      </w:r>
      <w:r>
        <w:rPr>
          <w:rFonts w:eastAsia="NSimSun" w:cs="Times New Roman" w:ascii="Times New Roman" w:hAnsi="Times New Roman"/>
          <w:color w:val="000000"/>
          <w:kern w:val="2"/>
          <w:sz w:val="24"/>
          <w:szCs w:val="24"/>
          <w:lang w:eastAsia="zh-CN" w:bidi="hi-IN"/>
        </w:rPr>
        <w:t xml:space="preserve"> установах та підприємствах, що фінансуються з бюджету громади</w:t>
      </w:r>
      <w:r>
        <w:rPr>
          <w:rFonts w:eastAsia="NSimSun" w:cs="Times New Roman" w:ascii="Times New Roman" w:hAnsi="Times New Roman"/>
          <w:kern w:val="2"/>
          <w:sz w:val="24"/>
          <w:szCs w:val="24"/>
          <w:lang w:eastAsia="zh-CN" w:bidi="hi-IN"/>
        </w:rPr>
        <w:t>.</w:t>
      </w:r>
    </w:p>
    <w:p>
      <w:pPr>
        <w:pStyle w:val="Normal"/>
        <w:spacing w:before="0" w:after="0"/>
        <w:jc w:val="center"/>
        <w:rPr/>
      </w:pPr>
      <w:r/>
      <w:r>
        <w:rPr>
          <w:rFonts w:eastAsia="NSimSun" w:cs="Times New Roman" w:ascii="Times New Roman" w:hAnsi="Times New Roman"/>
          <w:color w:val="000000"/>
          <w:kern w:val="2"/>
          <w:sz w:val="24"/>
          <w:szCs w:val="24"/>
          <w:shd w:fill="FFFFFF" w:val="clear"/>
          <w:lang w:eastAsia="zh-CN" w:bidi="hi-IN"/>
        </w:rPr>
        <w:drawing>
          <wp:anchor behindDoc="0" distT="0" distB="0" distL="0" distR="0" simplePos="0" locked="0" layoutInCell="0" allowOverlap="1" relativeHeight="35">
            <wp:simplePos x="0" y="0"/>
            <wp:positionH relativeFrom="column">
              <wp:posOffset>1175385</wp:posOffset>
            </wp:positionH>
            <wp:positionV relativeFrom="paragraph">
              <wp:posOffset>73025</wp:posOffset>
            </wp:positionV>
            <wp:extent cx="3874135" cy="2179320"/>
            <wp:effectExtent l="0" t="0" r="0" b="0"/>
            <wp:wrapSquare wrapText="largest"/>
            <wp:docPr id="32" name="Об'єкт3"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anchor>
        </w:drawing>
        <w:t xml:space="preserve">                   </w:t>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drawing>
          <wp:anchor behindDoc="0" distT="0" distB="0" distL="0" distR="0" simplePos="0" locked="0" layoutInCell="0" allowOverlap="1" relativeHeight="36">
            <wp:simplePos x="0" y="0"/>
            <wp:positionH relativeFrom="column">
              <wp:posOffset>1042035</wp:posOffset>
            </wp:positionH>
            <wp:positionV relativeFrom="paragraph">
              <wp:posOffset>33655</wp:posOffset>
            </wp:positionV>
            <wp:extent cx="3978910" cy="2237740"/>
            <wp:effectExtent l="0" t="0" r="0" b="0"/>
            <wp:wrapSquare wrapText="largest"/>
            <wp:docPr id="33" name="Об'єкт6"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anchor>
        </w:drawing>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color w:val="000000"/>
        </w:rPr>
      </w:pPr>
      <w:r>
        <w:rPr>
          <w:color w:val="000000"/>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
    </w:p>
    <w:p>
      <w:pPr>
        <w:pStyle w:val="Normal"/>
        <w:spacing w:before="0" w:after="0"/>
        <w:jc w:val="center"/>
        <w:rPr/>
      </w:pPr>
      <w:r>
        <w:rPr>
          <w:rFonts w:eastAsia="NSimSun" w:cs="Times New Roman" w:ascii="Times New Roman" w:hAnsi="Times New Roman"/>
          <w:color w:val="000000"/>
          <w:kern w:val="2"/>
          <w:sz w:val="24"/>
          <w:szCs w:val="24"/>
          <w:shd w:fill="FFFFFF" w:val="clear"/>
          <w:lang w:eastAsia="zh-CN" w:bidi="hi-IN"/>
        </w:rPr>
        <w:t>Рисунок Д2.6. Споживання енергоресурсів 2017 та 2024 роках по муніципальних</w:t>
      </w:r>
      <w:r>
        <w:rPr>
          <w:rFonts w:eastAsia="NSimSun" w:cs="Times New Roman" w:ascii="Times New Roman" w:hAnsi="Times New Roman"/>
          <w:color w:val="000000"/>
          <w:kern w:val="2"/>
          <w:sz w:val="24"/>
          <w:szCs w:val="24"/>
          <w:lang w:eastAsia="zh-CN" w:bidi="hi-IN"/>
        </w:rPr>
        <w:t xml:space="preserve"> установах та підприємствах, що фінансуються з бюджету громади</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Частка споживання тепла та природного газу у загальному розподілі енергоспоживання зменшилися в результаті проведення енергоефективних заходів у муніципальних будівлях, поступового скорочення опалювальних періодів та підвищення зовнішньої температури.</w:t>
      </w:r>
    </w:p>
    <w:p>
      <w:pPr>
        <w:pStyle w:val="Normal"/>
        <w:spacing w:before="0" w:after="0"/>
        <w:ind w:firstLine="567"/>
        <w:jc w:val="both"/>
        <w:rPr/>
      </w:pPr>
      <w:r>
        <w:rPr>
          <w:rFonts w:eastAsia="NSimSun" w:ascii="Times New Roman" w:hAnsi="Times New Roman"/>
          <w:color w:val="000000"/>
          <w:kern w:val="2"/>
          <w:sz w:val="24"/>
          <w:szCs w:val="24"/>
          <w:shd w:fill="FFFFFF" w:val="clear"/>
          <w:lang w:eastAsia="zh-CN" w:bidi="hi-IN"/>
        </w:rPr>
        <w:t>Незначне зростання споживання електричної енергії відбулося через пошкодження енергоінфраструктури під час обстрілів та порушення логістики постачання електроенергії.</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Обсяги споживання енергоресурсів у натуральних одиницях бюджетними установами, за період 2017 та 2024 роки надані у таблиці </w:t>
      </w:r>
      <w:r>
        <w:rPr>
          <w:rFonts w:eastAsia="NSimSun" w:cs="Times New Roman" w:ascii="Times New Roman" w:hAnsi="Times New Roman"/>
          <w:color w:val="000000"/>
          <w:kern w:val="2"/>
          <w:sz w:val="24"/>
          <w:szCs w:val="24"/>
          <w:lang w:eastAsia="zh-CN" w:bidi="hi-IN"/>
        </w:rPr>
        <w:t>Д2.5.</w:t>
      </w:r>
    </w:p>
    <w:p>
      <w:pPr>
        <w:pStyle w:val="Normal"/>
        <w:spacing w:before="0" w:after="0"/>
        <w:ind w:firstLine="510"/>
        <w:jc w:val="center"/>
        <w:rPr/>
      </w:pPr>
      <w:r>
        <w:rPr>
          <w:rFonts w:eastAsia="NSimSun" w:cs="Times New Roman" w:ascii="Times New Roman" w:hAnsi="Times New Roman"/>
          <w:color w:val="000000"/>
          <w:kern w:val="2"/>
          <w:sz w:val="24"/>
          <w:szCs w:val="24"/>
          <w:lang w:eastAsia="zh-CN" w:bidi="hi-IN"/>
        </w:rPr>
        <w:t xml:space="preserve">Таблиця Д2.5 Споживання енергоресурсів бюджетними установами </w:t>
      </w:r>
    </w:p>
    <w:tbl>
      <w:tblPr>
        <w:tblW w:w="9824" w:type="dxa"/>
        <w:jc w:val="start"/>
        <w:tblInd w:w="28" w:type="dxa"/>
        <w:tblLayout w:type="fixed"/>
        <w:tblCellMar>
          <w:top w:w="0" w:type="dxa"/>
          <w:start w:w="28" w:type="dxa"/>
          <w:bottom w:w="0" w:type="dxa"/>
          <w:end w:w="28" w:type="dxa"/>
        </w:tblCellMar>
        <w:tblLook w:firstRow="1" w:noVBand="1" w:lastRow="0" w:firstColumn="1" w:lastColumn="0" w:noHBand="0" w:val="04a0"/>
      </w:tblPr>
      <w:tblGrid>
        <w:gridCol w:w="2511"/>
        <w:gridCol w:w="924"/>
        <w:gridCol w:w="913"/>
        <w:gridCol w:w="910"/>
        <w:gridCol w:w="916"/>
        <w:gridCol w:w="914"/>
        <w:gridCol w:w="909"/>
        <w:gridCol w:w="933"/>
        <w:gridCol w:w="893"/>
      </w:tblGrid>
      <w:tr>
        <w:trPr/>
        <w:tc>
          <w:tcPr>
            <w:tcW w:w="2511" w:type="dxa"/>
            <w:tcBorders>
              <w:top w:val="single" w:sz="2" w:space="0" w:color="000000"/>
              <w:start w:val="single" w:sz="2" w:space="0" w:color="000000"/>
              <w:bottom w:val="single" w:sz="2" w:space="0" w:color="000000"/>
            </w:tcBorders>
          </w:tcPr>
          <w:p>
            <w:pPr>
              <w:pStyle w:val="Normal"/>
              <w:spacing w:lineRule="auto" w:line="240" w:before="0" w:after="0"/>
              <w:contextualSpacing/>
              <w:jc w:val="center"/>
              <w:rPr/>
            </w:pPr>
            <w:r>
              <w:rPr>
                <w:rFonts w:ascii="Times New Roman" w:hAnsi="Times New Roman"/>
                <w:sz w:val="20"/>
                <w:szCs w:val="20"/>
              </w:rPr>
              <w:t>Енергоресурси</w:t>
            </w:r>
          </w:p>
        </w:tc>
        <w:tc>
          <w:tcPr>
            <w:tcW w:w="924"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2017</w:t>
            </w:r>
          </w:p>
        </w:tc>
        <w:tc>
          <w:tcPr>
            <w:tcW w:w="913"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2018</w:t>
            </w:r>
          </w:p>
        </w:tc>
        <w:tc>
          <w:tcPr>
            <w:tcW w:w="910"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2019</w:t>
            </w:r>
          </w:p>
        </w:tc>
        <w:tc>
          <w:tcPr>
            <w:tcW w:w="916"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2020</w:t>
            </w:r>
          </w:p>
        </w:tc>
        <w:tc>
          <w:tcPr>
            <w:tcW w:w="914"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2021</w:t>
            </w:r>
          </w:p>
        </w:tc>
        <w:tc>
          <w:tcPr>
            <w:tcW w:w="909"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2022</w:t>
            </w:r>
          </w:p>
        </w:tc>
        <w:tc>
          <w:tcPr>
            <w:tcW w:w="933" w:type="dxa"/>
            <w:tcBorders>
              <w:top w:val="single" w:sz="2" w:space="0" w:color="000000"/>
              <w:start w:val="single" w:sz="2" w:space="0" w:color="000000"/>
              <w:bottom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2023</w:t>
            </w:r>
          </w:p>
        </w:tc>
        <w:tc>
          <w:tcPr>
            <w:tcW w:w="89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40" w:before="0" w:after="0"/>
              <w:contextualSpacing/>
              <w:jc w:val="center"/>
              <w:rPr/>
            </w:pPr>
            <w:r>
              <w:rPr>
                <w:rFonts w:ascii="Times New Roman" w:hAnsi="Times New Roman"/>
                <w:sz w:val="20"/>
                <w:szCs w:val="20"/>
              </w:rPr>
              <w:t>2024</w:t>
            </w:r>
          </w:p>
        </w:tc>
      </w:tr>
      <w:tr>
        <w:trPr/>
        <w:tc>
          <w:tcPr>
            <w:tcW w:w="2511" w:type="dxa"/>
            <w:tcBorders>
              <w:start w:val="single" w:sz="2" w:space="0" w:color="000000"/>
              <w:bottom w:val="single" w:sz="2" w:space="0" w:color="000000"/>
            </w:tcBorders>
          </w:tcPr>
          <w:p>
            <w:pPr>
              <w:pStyle w:val="Normal"/>
              <w:spacing w:before="0" w:after="0"/>
              <w:contextualSpacing/>
              <w:rPr/>
            </w:pPr>
            <w:r>
              <w:rPr>
                <w:rFonts w:ascii="Times New Roman" w:hAnsi="Times New Roman"/>
                <w:sz w:val="20"/>
                <w:szCs w:val="20"/>
              </w:rPr>
              <w:t>Тепло (Гкал)</w:t>
            </w:r>
          </w:p>
        </w:tc>
        <w:tc>
          <w:tcPr>
            <w:tcW w:w="92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54900,00</w:t>
            </w:r>
          </w:p>
        </w:tc>
        <w:tc>
          <w:tcPr>
            <w:tcW w:w="91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53500,00</w:t>
            </w:r>
          </w:p>
        </w:tc>
        <w:tc>
          <w:tcPr>
            <w:tcW w:w="910"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46900,00</w:t>
            </w:r>
          </w:p>
        </w:tc>
        <w:tc>
          <w:tcPr>
            <w:tcW w:w="916"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49200,00</w:t>
            </w:r>
          </w:p>
        </w:tc>
        <w:tc>
          <w:tcPr>
            <w:tcW w:w="91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42600,00</w:t>
            </w:r>
          </w:p>
        </w:tc>
        <w:tc>
          <w:tcPr>
            <w:tcW w:w="909"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41700,00</w:t>
            </w:r>
          </w:p>
        </w:tc>
        <w:tc>
          <w:tcPr>
            <w:tcW w:w="93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40500,00</w:t>
            </w:r>
          </w:p>
        </w:tc>
        <w:tc>
          <w:tcPr>
            <w:tcW w:w="893" w:type="dxa"/>
            <w:tcBorders>
              <w:start w:val="single" w:sz="2" w:space="0" w:color="000000"/>
              <w:bottom w:val="single" w:sz="2" w:space="0" w:color="000000"/>
              <w:end w:val="single" w:sz="2" w:space="0" w:color="000000"/>
            </w:tcBorders>
            <w:vAlign w:val="center"/>
          </w:tcPr>
          <w:p>
            <w:pPr>
              <w:pStyle w:val="Style25"/>
              <w:spacing w:before="0" w:after="0"/>
              <w:contextualSpacing/>
              <w:jc w:val="center"/>
              <w:rPr/>
            </w:pPr>
            <w:r>
              <w:rPr>
                <w:rFonts w:ascii="Times New Roman" w:hAnsi="Times New Roman"/>
                <w:color w:val="000000"/>
                <w:sz w:val="20"/>
                <w:szCs w:val="20"/>
              </w:rPr>
              <w:t>41872,48</w:t>
            </w:r>
          </w:p>
        </w:tc>
      </w:tr>
      <w:tr>
        <w:trPr/>
        <w:tc>
          <w:tcPr>
            <w:tcW w:w="2511" w:type="dxa"/>
            <w:tcBorders>
              <w:start w:val="single" w:sz="2" w:space="0" w:color="000000"/>
              <w:bottom w:val="single" w:sz="2" w:space="0" w:color="000000"/>
            </w:tcBorders>
          </w:tcPr>
          <w:p>
            <w:pPr>
              <w:pStyle w:val="Normal"/>
              <w:spacing w:before="0" w:after="0"/>
              <w:contextualSpacing/>
              <w:rPr/>
            </w:pPr>
            <w:r>
              <w:rPr>
                <w:rFonts w:ascii="Times New Roman" w:hAnsi="Times New Roman"/>
                <w:sz w:val="20"/>
                <w:szCs w:val="20"/>
              </w:rPr>
              <w:t>Природний газ (тис.м</w:t>
            </w:r>
            <w:r>
              <w:rPr>
                <w:rFonts w:ascii="Times New Roman" w:hAnsi="Times New Roman"/>
                <w:sz w:val="20"/>
                <w:szCs w:val="20"/>
                <w:vertAlign w:val="superscript"/>
              </w:rPr>
              <w:t>3</w:t>
            </w:r>
            <w:r>
              <w:rPr>
                <w:rFonts w:ascii="Times New Roman" w:hAnsi="Times New Roman"/>
                <w:sz w:val="20"/>
                <w:szCs w:val="20"/>
              </w:rPr>
              <w:t>)</w:t>
            </w:r>
          </w:p>
        </w:tc>
        <w:tc>
          <w:tcPr>
            <w:tcW w:w="92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3903,29</w:t>
            </w:r>
          </w:p>
        </w:tc>
        <w:tc>
          <w:tcPr>
            <w:tcW w:w="91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3502,92</w:t>
            </w:r>
          </w:p>
        </w:tc>
        <w:tc>
          <w:tcPr>
            <w:tcW w:w="910"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3101,70</w:t>
            </w:r>
          </w:p>
        </w:tc>
        <w:tc>
          <w:tcPr>
            <w:tcW w:w="916"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2880,58</w:t>
            </w:r>
          </w:p>
        </w:tc>
        <w:tc>
          <w:tcPr>
            <w:tcW w:w="91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3102,09</w:t>
            </w:r>
          </w:p>
        </w:tc>
        <w:tc>
          <w:tcPr>
            <w:tcW w:w="909"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2549,37</w:t>
            </w:r>
          </w:p>
        </w:tc>
        <w:tc>
          <w:tcPr>
            <w:tcW w:w="93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2933,43</w:t>
            </w:r>
          </w:p>
        </w:tc>
        <w:tc>
          <w:tcPr>
            <w:tcW w:w="893" w:type="dxa"/>
            <w:tcBorders>
              <w:start w:val="single" w:sz="2" w:space="0" w:color="000000"/>
              <w:bottom w:val="single" w:sz="2" w:space="0" w:color="000000"/>
              <w:end w:val="single" w:sz="2" w:space="0" w:color="000000"/>
            </w:tcBorders>
            <w:vAlign w:val="center"/>
          </w:tcPr>
          <w:p>
            <w:pPr>
              <w:pStyle w:val="Style25"/>
              <w:spacing w:before="0" w:after="0"/>
              <w:contextualSpacing/>
              <w:jc w:val="center"/>
              <w:rPr/>
            </w:pPr>
            <w:r>
              <w:rPr>
                <w:rFonts w:ascii="Times New Roman" w:hAnsi="Times New Roman"/>
                <w:color w:val="000000"/>
                <w:sz w:val="20"/>
                <w:szCs w:val="20"/>
              </w:rPr>
              <w:t>2937,57</w:t>
            </w:r>
          </w:p>
        </w:tc>
      </w:tr>
      <w:tr>
        <w:trPr/>
        <w:tc>
          <w:tcPr>
            <w:tcW w:w="2511" w:type="dxa"/>
            <w:tcBorders>
              <w:start w:val="single" w:sz="2" w:space="0" w:color="000000"/>
              <w:bottom w:val="single" w:sz="2" w:space="0" w:color="000000"/>
            </w:tcBorders>
          </w:tcPr>
          <w:p>
            <w:pPr>
              <w:pStyle w:val="Normal"/>
              <w:spacing w:before="0" w:after="0"/>
              <w:contextualSpacing/>
              <w:rPr/>
            </w:pPr>
            <w:r>
              <w:rPr>
                <w:rFonts w:ascii="Times New Roman" w:hAnsi="Times New Roman"/>
                <w:sz w:val="20"/>
                <w:szCs w:val="20"/>
              </w:rPr>
              <w:t>Електроенергія (МВт.год)</w:t>
            </w:r>
          </w:p>
        </w:tc>
        <w:tc>
          <w:tcPr>
            <w:tcW w:w="92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25607,00</w:t>
            </w:r>
          </w:p>
        </w:tc>
        <w:tc>
          <w:tcPr>
            <w:tcW w:w="91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29821,00</w:t>
            </w:r>
          </w:p>
        </w:tc>
        <w:tc>
          <w:tcPr>
            <w:tcW w:w="910"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28380,00</w:t>
            </w:r>
          </w:p>
        </w:tc>
        <w:tc>
          <w:tcPr>
            <w:tcW w:w="916"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25006,00</w:t>
            </w:r>
          </w:p>
        </w:tc>
        <w:tc>
          <w:tcPr>
            <w:tcW w:w="91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30955,00</w:t>
            </w:r>
          </w:p>
        </w:tc>
        <w:tc>
          <w:tcPr>
            <w:tcW w:w="909"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29762,00</w:t>
            </w:r>
          </w:p>
        </w:tc>
        <w:tc>
          <w:tcPr>
            <w:tcW w:w="93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26588,00</w:t>
            </w:r>
          </w:p>
        </w:tc>
        <w:tc>
          <w:tcPr>
            <w:tcW w:w="893" w:type="dxa"/>
            <w:tcBorders>
              <w:start w:val="single" w:sz="2" w:space="0" w:color="000000"/>
              <w:bottom w:val="single" w:sz="2" w:space="0" w:color="000000"/>
              <w:end w:val="single" w:sz="2" w:space="0" w:color="000000"/>
            </w:tcBorders>
            <w:vAlign w:val="center"/>
          </w:tcPr>
          <w:p>
            <w:pPr>
              <w:pStyle w:val="Style25"/>
              <w:spacing w:before="0" w:after="0"/>
              <w:contextualSpacing/>
              <w:jc w:val="center"/>
              <w:rPr/>
            </w:pPr>
            <w:r>
              <w:rPr>
                <w:rFonts w:ascii="Times New Roman" w:hAnsi="Times New Roman"/>
                <w:color w:val="000000"/>
                <w:sz w:val="20"/>
                <w:szCs w:val="20"/>
              </w:rPr>
              <w:t>22121,70</w:t>
            </w:r>
          </w:p>
        </w:tc>
      </w:tr>
      <w:tr>
        <w:trPr/>
        <w:tc>
          <w:tcPr>
            <w:tcW w:w="2511" w:type="dxa"/>
            <w:tcBorders>
              <w:start w:val="single" w:sz="2" w:space="0" w:color="000000"/>
              <w:bottom w:val="single" w:sz="2" w:space="0" w:color="000000"/>
            </w:tcBorders>
          </w:tcPr>
          <w:p>
            <w:pPr>
              <w:pStyle w:val="Normal"/>
              <w:spacing w:before="0" w:after="0"/>
              <w:contextualSpacing/>
              <w:rPr/>
            </w:pPr>
            <w:r>
              <w:rPr>
                <w:rFonts w:ascii="Times New Roman" w:hAnsi="Times New Roman"/>
                <w:sz w:val="20"/>
                <w:szCs w:val="20"/>
              </w:rPr>
              <w:t>Деревина (т)</w:t>
            </w:r>
          </w:p>
        </w:tc>
        <w:tc>
          <w:tcPr>
            <w:tcW w:w="92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0,00</w:t>
            </w:r>
          </w:p>
        </w:tc>
        <w:tc>
          <w:tcPr>
            <w:tcW w:w="91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0,00</w:t>
            </w:r>
          </w:p>
        </w:tc>
        <w:tc>
          <w:tcPr>
            <w:tcW w:w="910"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0,00</w:t>
            </w:r>
          </w:p>
        </w:tc>
        <w:tc>
          <w:tcPr>
            <w:tcW w:w="916"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0,00</w:t>
            </w:r>
          </w:p>
        </w:tc>
        <w:tc>
          <w:tcPr>
            <w:tcW w:w="914"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143,00</w:t>
            </w:r>
          </w:p>
        </w:tc>
        <w:tc>
          <w:tcPr>
            <w:tcW w:w="909"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191,85</w:t>
            </w:r>
          </w:p>
        </w:tc>
        <w:tc>
          <w:tcPr>
            <w:tcW w:w="933" w:type="dxa"/>
            <w:tcBorders>
              <w:start w:val="single" w:sz="2" w:space="0" w:color="000000"/>
              <w:bottom w:val="single" w:sz="2" w:space="0" w:color="000000"/>
            </w:tcBorders>
            <w:vAlign w:val="center"/>
          </w:tcPr>
          <w:p>
            <w:pPr>
              <w:pStyle w:val="Normal"/>
              <w:spacing w:before="0" w:after="0"/>
              <w:contextualSpacing/>
              <w:jc w:val="center"/>
              <w:rPr/>
            </w:pPr>
            <w:r>
              <w:rPr>
                <w:rFonts w:ascii="Times New Roman" w:hAnsi="Times New Roman"/>
                <w:sz w:val="20"/>
                <w:szCs w:val="20"/>
              </w:rPr>
              <w:t>361,39</w:t>
            </w:r>
          </w:p>
        </w:tc>
        <w:tc>
          <w:tcPr>
            <w:tcW w:w="893" w:type="dxa"/>
            <w:tcBorders>
              <w:start w:val="single" w:sz="2" w:space="0" w:color="000000"/>
              <w:bottom w:val="single" w:sz="2" w:space="0" w:color="000000"/>
              <w:end w:val="single" w:sz="2" w:space="0" w:color="000000"/>
            </w:tcBorders>
            <w:vAlign w:val="center"/>
          </w:tcPr>
          <w:p>
            <w:pPr>
              <w:pStyle w:val="Style25"/>
              <w:spacing w:before="0" w:after="0"/>
              <w:contextualSpacing/>
              <w:jc w:val="center"/>
              <w:rPr/>
            </w:pPr>
            <w:r>
              <w:rPr>
                <w:rFonts w:ascii="Times New Roman" w:hAnsi="Times New Roman"/>
                <w:color w:val="000000"/>
                <w:sz w:val="20"/>
                <w:szCs w:val="20"/>
              </w:rPr>
              <w:t>373,64</w:t>
            </w:r>
          </w:p>
        </w:tc>
      </w:tr>
    </w:tbl>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Споживання енергоресурсів для опалення залишаються найбільшими в розрізі загального обсягу. В першу чергу під час планування слід приділяти увагу енергоефективним заходам, що направлені на покращення раціонального енергоспоживання будівель муніципальних установ і підприємств, в т.ч. із впровадженням заходів з використанням ВДЕ.</w:t>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Д2.3.2. Сфера водопостачання та водовідведення</w:t>
      </w:r>
    </w:p>
    <w:p>
      <w:pPr>
        <w:pStyle w:val="Normal"/>
        <w:tabs>
          <w:tab w:val="clear" w:pos="708"/>
          <w:tab w:val="left" w:pos="0" w:leader="none"/>
        </w:tabs>
        <w:spacing w:lineRule="auto" w:line="240" w:before="0" w:after="0"/>
        <w:ind w:firstLine="567"/>
        <w:jc w:val="both"/>
        <w:rPr/>
      </w:pPr>
      <w:r>
        <w:rPr>
          <w:rFonts w:eastAsia="Times New Roman" w:cs="Times New Roman" w:ascii="Times New Roman" w:hAnsi="Times New Roman"/>
          <w:color w:val="000000"/>
          <w:kern w:val="2"/>
          <w:sz w:val="24"/>
          <w:szCs w:val="24"/>
          <w:lang w:eastAsia="de-DE" w:bidi="hi-IN"/>
        </w:rPr>
        <w:t>Єдиним постачальником послуг з водопостачання та водовідведення у Луцькій МТГ є КП «Луцькводоканал».</w:t>
      </w:r>
    </w:p>
    <w:p>
      <w:pPr>
        <w:pStyle w:val="Normal"/>
        <w:spacing w:lineRule="auto" w:line="247" w:before="0" w:after="11"/>
        <w:ind w:firstLine="567"/>
        <w:jc w:val="both"/>
        <w:rPr/>
      </w:pPr>
      <w:r>
        <w:rPr>
          <w:rFonts w:eastAsia="Times New Roman" w:cs="Times New Roman" w:ascii="Times New Roman" w:hAnsi="Times New Roman"/>
          <w:kern w:val="2"/>
          <w:sz w:val="24"/>
          <w:szCs w:val="24"/>
          <w:lang w:eastAsia="zh-CN" w:bidi="hi-IN"/>
        </w:rPr>
        <w:t xml:space="preserve">У таблиці Д2.6. наведено дані про наявність централізованого водопостачання та водовідведення у Луцькій МТГ станом на 01.01.2025. </w:t>
      </w:r>
    </w:p>
    <w:p>
      <w:pPr>
        <w:pStyle w:val="Normal"/>
        <w:spacing w:lineRule="auto" w:line="247" w:before="0" w:after="11"/>
        <w:ind w:firstLine="567"/>
        <w:jc w:val="center"/>
        <w:rPr/>
      </w:pPr>
      <w:r>
        <w:rPr>
          <w:rFonts w:eastAsia="Times New Roman" w:cs="Times New Roman" w:ascii="Times New Roman" w:hAnsi="Times New Roman"/>
          <w:kern w:val="2"/>
          <w:sz w:val="24"/>
          <w:szCs w:val="24"/>
          <w:lang w:eastAsia="zh-CN" w:bidi="hi-IN"/>
        </w:rPr>
        <w:t xml:space="preserve">Таблиця Д2.6  Наявність централізованого водопостачання та водовідведення </w:t>
      </w:r>
    </w:p>
    <w:tbl>
      <w:tblPr>
        <w:tblW w:w="9462" w:type="dxa"/>
        <w:jc w:val="start"/>
        <w:tblInd w:w="360" w:type="dxa"/>
        <w:tblLayout w:type="fixed"/>
        <w:tblCellMar>
          <w:top w:w="51" w:type="dxa"/>
          <w:start w:w="108" w:type="dxa"/>
          <w:bottom w:w="0" w:type="dxa"/>
          <w:end w:w="115" w:type="dxa"/>
        </w:tblCellMar>
        <w:tblLook w:firstRow="1" w:noVBand="1" w:lastRow="0" w:firstColumn="1" w:lastColumn="0" w:noHBand="0" w:val="04a0"/>
      </w:tblPr>
      <w:tblGrid>
        <w:gridCol w:w="2556"/>
        <w:gridCol w:w="2667"/>
        <w:gridCol w:w="2146"/>
        <w:gridCol w:w="2092"/>
      </w:tblGrid>
      <w:tr>
        <w:trPr/>
        <w:tc>
          <w:tcPr>
            <w:tcW w:w="2556" w:type="dxa"/>
            <w:tcBorders>
              <w:top w:val="single" w:sz="2" w:space="0" w:color="000000"/>
              <w:start w:val="single" w:sz="2"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lang w:eastAsia="zh-CN"/>
              </w:rPr>
              <w:t>Назва підприємства-водопостачальника</w:t>
            </w:r>
          </w:p>
        </w:tc>
        <w:tc>
          <w:tcPr>
            <w:tcW w:w="2667" w:type="dxa"/>
            <w:tcBorders>
              <w:top w:val="single" w:sz="2" w:space="0" w:color="000000"/>
              <w:start w:val="single" w:sz="2"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lang w:eastAsia="zh-CN"/>
              </w:rPr>
              <w:t>Населені пункти, що обслуговує</w:t>
            </w:r>
          </w:p>
        </w:tc>
        <w:tc>
          <w:tcPr>
            <w:tcW w:w="2146" w:type="dxa"/>
            <w:tcBorders>
              <w:top w:val="single" w:sz="2" w:space="0" w:color="000000"/>
              <w:start w:val="single" w:sz="2" w:space="0" w:color="000000"/>
              <w:bottom w:val="single" w:sz="4" w:space="0" w:color="000000"/>
            </w:tcBorders>
          </w:tcPr>
          <w:p>
            <w:pPr>
              <w:pStyle w:val="Normal"/>
              <w:spacing w:lineRule="auto" w:line="240" w:before="0" w:after="0"/>
              <w:jc w:val="center"/>
              <w:rPr/>
            </w:pPr>
            <w:r>
              <w:rPr>
                <w:rFonts w:cs="Times New Roman" w:ascii="Times New Roman" w:hAnsi="Times New Roman"/>
                <w:sz w:val="20"/>
                <w:szCs w:val="20"/>
                <w:lang w:eastAsia="zh-CN"/>
              </w:rPr>
              <w:t>Кількість осіб у населеному пункті</w:t>
            </w:r>
          </w:p>
        </w:tc>
        <w:tc>
          <w:tcPr>
            <w:tcW w:w="2092" w:type="dxa"/>
            <w:tcBorders>
              <w:top w:val="single" w:sz="2" w:space="0" w:color="000000"/>
              <w:start w:val="single" w:sz="2" w:space="0" w:color="000000"/>
              <w:bottom w:val="single" w:sz="4" w:space="0" w:color="000000"/>
              <w:end w:val="single" w:sz="2" w:space="0" w:color="000000"/>
            </w:tcBorders>
          </w:tcPr>
          <w:p>
            <w:pPr>
              <w:pStyle w:val="Normal"/>
              <w:spacing w:lineRule="auto" w:line="240" w:before="0" w:after="0"/>
              <w:jc w:val="center"/>
              <w:rPr/>
            </w:pPr>
            <w:r>
              <w:rPr>
                <w:rFonts w:ascii="Times New Roman" w:hAnsi="Times New Roman"/>
                <w:sz w:val="20"/>
                <w:szCs w:val="20"/>
              </w:rPr>
              <w:t>Обсяг поданої води,</w:t>
            </w:r>
          </w:p>
          <w:p>
            <w:pPr>
              <w:pStyle w:val="Normal"/>
              <w:spacing w:lineRule="auto" w:line="240" w:before="0" w:after="0"/>
              <w:jc w:val="center"/>
              <w:rPr/>
            </w:pPr>
            <w:r>
              <w:rPr>
                <w:rFonts w:ascii="Times New Roman" w:hAnsi="Times New Roman"/>
                <w:sz w:val="20"/>
                <w:szCs w:val="20"/>
                <w:lang w:eastAsia="zh-CN"/>
              </w:rPr>
              <w:t>тис. м</w:t>
            </w:r>
            <w:r>
              <w:rPr>
                <w:rFonts w:ascii="Times New Roman" w:hAnsi="Times New Roman"/>
                <w:sz w:val="20"/>
                <w:szCs w:val="20"/>
                <w:vertAlign w:val="superscript"/>
                <w:lang w:eastAsia="zh-CN"/>
              </w:rPr>
              <w:t>3</w:t>
            </w:r>
            <w:r>
              <w:rPr>
                <w:rFonts w:ascii="Times New Roman" w:hAnsi="Times New Roman"/>
                <w:sz w:val="20"/>
                <w:szCs w:val="20"/>
                <w:lang w:eastAsia="zh-CN"/>
              </w:rPr>
              <w:t>/рік</w:t>
            </w:r>
          </w:p>
        </w:tc>
      </w:tr>
      <w:tr>
        <w:trPr/>
        <w:tc>
          <w:tcPr>
            <w:tcW w:w="255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cs="Times New Roman" w:ascii="Times New Roman" w:hAnsi="Times New Roman"/>
                <w:sz w:val="19"/>
                <w:szCs w:val="19"/>
                <w:lang w:eastAsia="zh-CN"/>
              </w:rPr>
              <w:t>КП «Луцькводоканал»</w:t>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м. Луцьк</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215986</w:t>
            </w:r>
          </w:p>
        </w:tc>
        <w:tc>
          <w:tcPr>
            <w:tcW w:w="209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cs="Times New Roman" w:ascii="Times New Roman" w:hAnsi="Times New Roman"/>
                <w:sz w:val="19"/>
                <w:szCs w:val="19"/>
                <w:lang w:eastAsia="zh-CN"/>
              </w:rPr>
              <w:t>16 692,5</w:t>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Крупа</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849</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Лище</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2332</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Рованці</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3221</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Новостав</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741</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Боратин</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2604</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Голишів</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488</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Липляни</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670</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Липини</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5790</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Зміїнець</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3042</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Великий Омеляник</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2029</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Тарасове</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1989</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Прилуцьке</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2662</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Струмівка</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2995</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Підгайці</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4827</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Жидичин</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1459</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Забороль</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1880</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Полонка</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1261</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Іванчиці</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264</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Озденіж</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122</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Всеволодівка</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246</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Боголюби</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56</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Богушівка</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104</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Одеради</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1299</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Городок</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256</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Сьомаки</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355</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Шепель</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234</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Охотин</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387</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Кгягининок</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455</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Милушин</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219</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Милуші</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2297</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Селище Рокині</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271</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r>
        <w:trPr/>
        <w:tc>
          <w:tcPr>
            <w:tcW w:w="255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pPr>
            <w:r>
              <w:rPr/>
            </w:r>
          </w:p>
        </w:tc>
        <w:tc>
          <w:tcPr>
            <w:tcW w:w="26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cs="Times New Roman" w:ascii="Times New Roman" w:hAnsi="Times New Roman"/>
                <w:sz w:val="19"/>
                <w:szCs w:val="19"/>
                <w:lang w:eastAsia="zh-CN"/>
              </w:rPr>
              <w:t>с. Брище</w:t>
            </w:r>
          </w:p>
        </w:tc>
        <w:tc>
          <w:tcPr>
            <w:tcW w:w="214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0"/>
              <w:jc w:val="center"/>
              <w:rPr/>
            </w:pPr>
            <w:r>
              <w:rPr>
                <w:rFonts w:ascii="Times New Roman" w:hAnsi="Times New Roman"/>
                <w:sz w:val="20"/>
                <w:szCs w:val="20"/>
              </w:rPr>
              <w:t>853</w:t>
            </w:r>
          </w:p>
        </w:tc>
        <w:tc>
          <w:tcPr>
            <w:tcW w:w="209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cs="Times New Roman"/>
              </w:rPr>
            </w:pPr>
            <w:r>
              <w:rPr>
                <w:rFonts w:cs="Times New Roman" w:ascii="Times New Roman" w:hAnsi="Times New Roman"/>
              </w:rPr>
            </w:r>
          </w:p>
        </w:tc>
      </w:tr>
    </w:tbl>
    <w:p>
      <w:pPr>
        <w:pStyle w:val="Normal"/>
        <w:spacing w:lineRule="auto" w:line="240" w:before="0" w:after="0"/>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firstLine="567"/>
        <w:jc w:val="center"/>
        <w:rPr/>
      </w:pPr>
      <w:r>
        <w:rPr>
          <w:rFonts w:eastAsia="NSimSun" w:cs="Times New Roman" w:ascii="Times New Roman" w:hAnsi="Times New Roman"/>
          <w:kern w:val="2"/>
          <w:sz w:val="24"/>
          <w:szCs w:val="24"/>
          <w:lang w:eastAsia="zh-CN" w:bidi="hi-IN"/>
        </w:rPr>
        <w:t xml:space="preserve">На рисунку Д2.7. можна побачити схему водопостачання та водовідведення </w:t>
      </w:r>
    </w:p>
    <w:p>
      <w:pPr>
        <w:pStyle w:val="Normal"/>
        <w:spacing w:lineRule="auto" w:line="240" w:before="0" w:after="0"/>
        <w:ind w:firstLine="15" w:start="-15"/>
        <w:jc w:val="center"/>
        <w:rPr/>
      </w:pPr>
      <w:r>
        <w:rPr/>
        <w:drawing>
          <wp:inline distT="0" distB="0" distL="0" distR="0">
            <wp:extent cx="6038850" cy="5267325"/>
            <wp:effectExtent l="0" t="0" r="0" b="0"/>
            <wp:docPr id="34" name="Рисунок 62 копія 1" descr="C:\Users\Administrator\AppData\Local\Microsoft\Windows\INetCache\Content.Word\ГП_ВОДА_ТА_КАНАЛІЗАЦІЯ_compressed_page-0001.jpg"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62 копія 1" descr="C:\Users\Administrator\AppData\Local\Microsoft\Windows\INetCache\Content.Word\ГП_ВОДА_ТА_КАНАЛІЗАЦІЯ_compressed_page-0001.jpg" title=""/>
                    <pic:cNvPicPr>
                      <a:picLocks noChangeAspect="1" noChangeArrowheads="1"/>
                    </pic:cNvPicPr>
                  </pic:nvPicPr>
                  <pic:blipFill>
                    <a:blip r:embed="rId70"/>
                    <a:stretch>
                      <a:fillRect/>
                    </a:stretch>
                  </pic:blipFill>
                  <pic:spPr bwMode="auto">
                    <a:xfrm>
                      <a:off x="0" y="0"/>
                      <a:ext cx="6038850" cy="5267325"/>
                    </a:xfrm>
                    <a:prstGeom prst="rect">
                      <a:avLst/>
                    </a:prstGeom>
                  </pic:spPr>
                </pic:pic>
              </a:graphicData>
            </a:graphic>
          </wp:inline>
        </w:drawing>
      </w:r>
      <w:r>
        <w:rPr>
          <w:rFonts w:eastAsia="NSimSun" w:cs="Times New Roman" w:ascii="Times New Roman" w:hAnsi="Times New Roman"/>
          <w:kern w:val="2"/>
          <w:sz w:val="24"/>
          <w:szCs w:val="24"/>
          <w:lang w:eastAsia="zh-CN" w:bidi="hi-IN"/>
        </w:rPr>
        <w:t> </w:t>
      </w:r>
      <w:r>
        <w:rPr>
          <w:rFonts w:eastAsia="NSimSun" w:cs="Times New Roman" w:ascii="Times New Roman" w:hAnsi="Times New Roman"/>
          <w:kern w:val="2"/>
          <w:sz w:val="24"/>
          <w:szCs w:val="24"/>
          <w:lang w:eastAsia="zh-CN" w:bidi="hi-IN"/>
        </w:rPr>
        <w:t xml:space="preserve">Рисунок Д2.7. Схема водопостачання та водовідведення </w:t>
      </w:r>
    </w:p>
    <w:p>
      <w:pPr>
        <w:pStyle w:val="Normal"/>
        <w:spacing w:lineRule="auto" w:line="240" w:before="0" w:after="0"/>
        <w:ind w:firstLine="567" w:start="-15"/>
        <w:jc w:val="both"/>
        <w:rPr/>
      </w:pPr>
      <w:r>
        <w:rPr>
          <w:rFonts w:eastAsia="Times New Roman" w:cs="Times New Roman" w:ascii="Times New Roman" w:hAnsi="Times New Roman"/>
          <w:kern w:val="2"/>
          <w:sz w:val="24"/>
          <w:szCs w:val="24"/>
          <w:lang w:eastAsia="zh-CN" w:bidi="hi-IN"/>
        </w:rPr>
        <w:t xml:space="preserve">Відсоток мешканців громади, що мають доступ до послуги централізованого водопостачання наведені у таблиці Д2.7. </w:t>
      </w:r>
    </w:p>
    <w:p>
      <w:pPr>
        <w:pStyle w:val="Normal"/>
        <w:spacing w:lineRule="auto" w:line="240" w:before="0" w:after="0"/>
        <w:ind w:firstLine="567" w:start="-15"/>
        <w:jc w:val="center"/>
        <w:rPr/>
      </w:pPr>
      <w:r>
        <w:rPr>
          <w:rFonts w:eastAsia="Times New Roman" w:cs="Times New Roman" w:ascii="Times New Roman" w:hAnsi="Times New Roman"/>
          <w:kern w:val="2"/>
          <w:sz w:val="24"/>
          <w:szCs w:val="24"/>
          <w:lang w:eastAsia="zh-CN" w:bidi="hi-IN"/>
        </w:rPr>
        <w:t>Таблиця Д2.7. Відсоток мешканців громади, що мають доступ до послуги централізованого водопостачання</w:t>
      </w:r>
    </w:p>
    <w:tbl>
      <w:tblPr>
        <w:tblW w:w="9690" w:type="dxa"/>
        <w:jc w:val="start"/>
        <w:tblInd w:w="7" w:type="dxa"/>
        <w:tblLayout w:type="fixed"/>
        <w:tblCellMar>
          <w:top w:w="28" w:type="dxa"/>
          <w:start w:w="28" w:type="dxa"/>
          <w:bottom w:w="28" w:type="dxa"/>
          <w:end w:w="28" w:type="dxa"/>
        </w:tblCellMar>
        <w:tblLook w:firstRow="1" w:noVBand="1" w:lastRow="0" w:firstColumn="1" w:lastColumn="0" w:noHBand="0" w:val="04a0"/>
      </w:tblPr>
      <w:tblGrid>
        <w:gridCol w:w="2344"/>
        <w:gridCol w:w="3407"/>
        <w:gridCol w:w="3939"/>
      </w:tblGrid>
      <w:tr>
        <w:trPr/>
        <w:tc>
          <w:tcPr>
            <w:tcW w:w="2344" w:type="dxa"/>
            <w:tcBorders>
              <w:top w:val="single" w:sz="2" w:space="0" w:color="000000"/>
              <w:start w:val="single" w:sz="2" w:space="0" w:color="000000"/>
              <w:bottom w:val="single" w:sz="2" w:space="0" w:color="000000"/>
            </w:tcBorders>
          </w:tcPr>
          <w:p>
            <w:pPr>
              <w:pStyle w:val="Normal"/>
              <w:widowControl w:val="false"/>
              <w:suppressLineNumbers/>
              <w:spacing w:lineRule="auto" w:line="240" w:before="0" w:after="0"/>
              <w:jc w:val="center"/>
              <w:rPr/>
            </w:pPr>
            <w:r>
              <w:rPr>
                <w:rFonts w:eastAsia="Times New Roman" w:cs="Times New Roman" w:ascii="Times New Roman" w:hAnsi="Times New Roman"/>
                <w:kern w:val="2"/>
                <w:lang w:eastAsia="zh-CN" w:bidi="hi-IN"/>
              </w:rPr>
              <w:t>Станом на</w:t>
            </w:r>
          </w:p>
        </w:tc>
        <w:tc>
          <w:tcPr>
            <w:tcW w:w="3407" w:type="dxa"/>
            <w:tcBorders>
              <w:top w:val="single" w:sz="2" w:space="0" w:color="000000"/>
              <w:start w:val="single" w:sz="2" w:space="0" w:color="000000"/>
              <w:bottom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lang w:eastAsia="zh-CN" w:bidi="hi-IN"/>
              </w:rPr>
              <w:t>м. Луцьк</w:t>
            </w:r>
          </w:p>
        </w:tc>
        <w:tc>
          <w:tcPr>
            <w:tcW w:w="3939"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lang w:eastAsia="zh-CN" w:bidi="hi-IN"/>
              </w:rPr>
              <w:t>Інші населені пункти</w:t>
            </w:r>
          </w:p>
        </w:tc>
      </w:tr>
      <w:tr>
        <w:trPr/>
        <w:tc>
          <w:tcPr>
            <w:tcW w:w="2344" w:type="dxa"/>
            <w:tcBorders>
              <w:start w:val="single" w:sz="2" w:space="0" w:color="000000"/>
              <w:bottom w:val="single" w:sz="2" w:space="0" w:color="000000"/>
            </w:tcBorders>
          </w:tcPr>
          <w:p>
            <w:pPr>
              <w:pStyle w:val="Normal"/>
              <w:widowControl w:val="false"/>
              <w:spacing w:lineRule="auto" w:line="240" w:before="0" w:after="0"/>
              <w:jc w:val="center"/>
              <w:rPr/>
            </w:pPr>
            <w:r>
              <w:rPr>
                <w:rFonts w:eastAsia="Times New Roman" w:cs="Times New Roman" w:ascii="Times New Roman" w:hAnsi="Times New Roman"/>
                <w:kern w:val="2"/>
                <w:lang w:eastAsia="zh-CN" w:bidi="hi-IN"/>
              </w:rPr>
              <w:t>01.01.2023</w:t>
            </w:r>
          </w:p>
        </w:tc>
        <w:tc>
          <w:tcPr>
            <w:tcW w:w="3407" w:type="dxa"/>
            <w:tcBorders>
              <w:start w:val="single" w:sz="2" w:space="0" w:color="000000"/>
              <w:bottom w:val="single" w:sz="2" w:space="0" w:color="000000"/>
            </w:tcBorders>
          </w:tcPr>
          <w:p>
            <w:pPr>
              <w:pStyle w:val="Normal"/>
              <w:widowControl w:val="false"/>
              <w:suppressLineNumbers/>
              <w:spacing w:lineRule="auto" w:line="240" w:before="0" w:after="0"/>
              <w:jc w:val="center"/>
              <w:rPr/>
            </w:pPr>
            <w:r>
              <w:rPr>
                <w:rFonts w:eastAsia="Times New Roman" w:cs="Times New Roman" w:ascii="Times New Roman" w:hAnsi="Times New Roman"/>
                <w:kern w:val="2"/>
                <w:lang w:eastAsia="zh-CN" w:bidi="hi-IN"/>
              </w:rPr>
              <w:t>86,9 %</w:t>
            </w:r>
          </w:p>
        </w:tc>
        <w:tc>
          <w:tcPr>
            <w:tcW w:w="3939"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eastAsia="Times New Roman" w:cs="Times New Roman" w:ascii="Times New Roman" w:hAnsi="Times New Roman"/>
                <w:kern w:val="2"/>
                <w:lang w:eastAsia="zh-CN" w:bidi="hi-IN"/>
              </w:rPr>
              <w:t>47,0 %</w:t>
            </w:r>
          </w:p>
        </w:tc>
      </w:tr>
      <w:tr>
        <w:trPr/>
        <w:tc>
          <w:tcPr>
            <w:tcW w:w="2344" w:type="dxa"/>
            <w:tcBorders>
              <w:start w:val="single" w:sz="2" w:space="0" w:color="000000"/>
              <w:bottom w:val="single" w:sz="2" w:space="0" w:color="000000"/>
            </w:tcBorders>
          </w:tcPr>
          <w:p>
            <w:pPr>
              <w:pStyle w:val="Normal"/>
              <w:widowControl w:val="false"/>
              <w:spacing w:lineRule="auto" w:line="240" w:before="0" w:after="0"/>
              <w:jc w:val="center"/>
              <w:rPr/>
            </w:pPr>
            <w:r>
              <w:rPr>
                <w:rFonts w:ascii="Times New Roman" w:hAnsi="Times New Roman"/>
              </w:rPr>
              <w:t>01.01.2025</w:t>
            </w:r>
          </w:p>
        </w:tc>
        <w:tc>
          <w:tcPr>
            <w:tcW w:w="3407" w:type="dxa"/>
            <w:tcBorders>
              <w:start w:val="single" w:sz="2" w:space="0" w:color="000000"/>
              <w:bottom w:val="single" w:sz="2" w:space="0" w:color="000000"/>
            </w:tcBorders>
          </w:tcPr>
          <w:p>
            <w:pPr>
              <w:pStyle w:val="Normal"/>
              <w:widowControl w:val="false"/>
              <w:suppressLineNumbers/>
              <w:spacing w:lineRule="auto" w:line="240" w:before="0" w:after="0"/>
              <w:jc w:val="center"/>
              <w:rPr/>
            </w:pPr>
            <w:r>
              <w:rPr>
                <w:rFonts w:ascii="Times New Roman" w:hAnsi="Times New Roman"/>
              </w:rPr>
              <w:t>88,1 %</w:t>
            </w:r>
          </w:p>
        </w:tc>
        <w:tc>
          <w:tcPr>
            <w:tcW w:w="3939"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ascii="Times New Roman" w:hAnsi="Times New Roman"/>
              </w:rPr>
              <w:t>47,3 %</w:t>
            </w:r>
          </w:p>
        </w:tc>
      </w:tr>
    </w:tbl>
    <w:p>
      <w:pPr>
        <w:pStyle w:val="Normal"/>
        <w:tabs>
          <w:tab w:val="clear" w:pos="708"/>
          <w:tab w:val="left" w:pos="0" w:leader="none"/>
        </w:tabs>
        <w:spacing w:lineRule="auto" w:line="240" w:before="0" w:after="0"/>
        <w:ind w:firstLine="567"/>
        <w:jc w:val="both"/>
        <w:rPr/>
      </w:pPr>
      <w:r>
        <w:rPr>
          <w:rFonts w:eastAsia="NSimSun" w:cs="Times New Roman" w:ascii="Times New Roman" w:hAnsi="Times New Roman"/>
          <w:kern w:val="2"/>
          <w:sz w:val="24"/>
          <w:szCs w:val="24"/>
          <w:lang w:eastAsia="zh-CN" w:bidi="hi-IN"/>
        </w:rPr>
        <w:t xml:space="preserve">У таблиці </w:t>
      </w:r>
      <w:r>
        <w:rPr>
          <w:rFonts w:eastAsia="Times New Roman" w:cs="Times New Roman" w:ascii="Times New Roman" w:hAnsi="Times New Roman"/>
          <w:kern w:val="2"/>
          <w:sz w:val="24"/>
          <w:szCs w:val="24"/>
          <w:lang w:eastAsia="zh-CN" w:bidi="hi-IN"/>
        </w:rPr>
        <w:t>Д2.8 </w:t>
      </w:r>
      <w:r>
        <w:rPr>
          <w:rFonts w:eastAsia="NSimSun" w:cs="Times New Roman" w:ascii="Times New Roman" w:hAnsi="Times New Roman"/>
          <w:kern w:val="2"/>
          <w:sz w:val="24"/>
          <w:szCs w:val="24"/>
          <w:lang w:eastAsia="zh-CN" w:bidi="hi-IN"/>
        </w:rPr>
        <w:t>наведено інформацію про обсяги водопостачання та водовідведення.</w:t>
      </w:r>
    </w:p>
    <w:p>
      <w:pPr>
        <w:pStyle w:val="Normal"/>
        <w:tabs>
          <w:tab w:val="clear" w:pos="708"/>
          <w:tab w:val="left" w:pos="0" w:leader="none"/>
        </w:tabs>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tabs>
          <w:tab w:val="clear" w:pos="708"/>
          <w:tab w:val="left" w:pos="0" w:leader="none"/>
        </w:tabs>
        <w:spacing w:lineRule="auto" w:line="240" w:before="0" w:after="0"/>
        <w:ind w:firstLine="567"/>
        <w:jc w:val="center"/>
        <w:rPr/>
      </w:pPr>
      <w:r>
        <w:rPr>
          <w:rFonts w:eastAsia="NSimSun" w:cs="Times New Roman" w:ascii="Times New Roman" w:hAnsi="Times New Roman"/>
          <w:kern w:val="2"/>
          <w:sz w:val="24"/>
          <w:szCs w:val="24"/>
          <w:lang w:eastAsia="zh-CN" w:bidi="hi-IN"/>
        </w:rPr>
        <w:t xml:space="preserve">Таблиця </w:t>
      </w:r>
      <w:r>
        <w:rPr>
          <w:rFonts w:eastAsia="Times New Roman" w:cs="Times New Roman" w:ascii="Times New Roman" w:hAnsi="Times New Roman"/>
          <w:kern w:val="2"/>
          <w:sz w:val="24"/>
          <w:szCs w:val="24"/>
          <w:lang w:eastAsia="zh-CN" w:bidi="hi-IN"/>
        </w:rPr>
        <w:t>Д2.8. </w:t>
      </w:r>
      <w:r>
        <w:rPr>
          <w:rFonts w:eastAsia="NSimSun" w:cs="Times New Roman" w:ascii="Times New Roman" w:hAnsi="Times New Roman"/>
          <w:kern w:val="2"/>
          <w:sz w:val="24"/>
          <w:szCs w:val="24"/>
          <w:lang w:eastAsia="zh-CN" w:bidi="hi-IN"/>
        </w:rPr>
        <w:t xml:space="preserve">Інформація про обсяги водопостачання та водовідведення </w:t>
      </w:r>
    </w:p>
    <w:tbl>
      <w:tblPr>
        <w:tblW w:w="9725" w:type="dxa"/>
        <w:jc w:val="start"/>
        <w:tblInd w:w="145" w:type="dxa"/>
        <w:tblLayout w:type="fixed"/>
        <w:tblCellMar>
          <w:top w:w="50" w:type="dxa"/>
          <w:start w:w="112" w:type="dxa"/>
          <w:bottom w:w="0" w:type="dxa"/>
          <w:end w:w="112" w:type="dxa"/>
        </w:tblCellMar>
        <w:tblLook w:firstRow="1" w:noVBand="1" w:lastRow="0" w:firstColumn="1" w:lastColumn="0" w:noHBand="0" w:val="04a0"/>
      </w:tblPr>
      <w:tblGrid>
        <w:gridCol w:w="2895"/>
        <w:gridCol w:w="853"/>
        <w:gridCol w:w="852"/>
        <w:gridCol w:w="854"/>
        <w:gridCol w:w="854"/>
        <w:gridCol w:w="857"/>
        <w:gridCol w:w="862"/>
        <w:gridCol w:w="849"/>
        <w:gridCol w:w="848"/>
      </w:tblGrid>
      <w:tr>
        <w:trPr/>
        <w:tc>
          <w:tcPr>
            <w:tcW w:w="28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Тип послуги</w:t>
            </w:r>
          </w:p>
        </w:tc>
        <w:tc>
          <w:tcPr>
            <w:tcW w:w="85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2017</w:t>
            </w:r>
          </w:p>
        </w:tc>
        <w:tc>
          <w:tcPr>
            <w:tcW w:w="85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2018</w:t>
            </w:r>
          </w:p>
        </w:tc>
        <w:tc>
          <w:tcPr>
            <w:tcW w:w="8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2019</w:t>
            </w:r>
          </w:p>
        </w:tc>
        <w:tc>
          <w:tcPr>
            <w:tcW w:w="8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2020</w:t>
            </w:r>
          </w:p>
        </w:tc>
        <w:tc>
          <w:tcPr>
            <w:tcW w:w="85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2021</w:t>
            </w:r>
          </w:p>
        </w:tc>
        <w:tc>
          <w:tcPr>
            <w:tcW w:w="862"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2022</w:t>
            </w:r>
          </w:p>
        </w:tc>
        <w:tc>
          <w:tcPr>
            <w:tcW w:w="849"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2023</w:t>
            </w:r>
          </w:p>
        </w:tc>
        <w:tc>
          <w:tcPr>
            <w:tcW w:w="84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sz w:val="20"/>
                <w:szCs w:val="20"/>
              </w:rPr>
              <w:t>2024</w:t>
            </w:r>
          </w:p>
        </w:tc>
      </w:tr>
      <w:tr>
        <w:trPr/>
        <w:tc>
          <w:tcPr>
            <w:tcW w:w="28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Водопостачання, тис. м</w:t>
            </w:r>
            <w:r>
              <w:rPr>
                <w:rFonts w:eastAsia="NSimSun" w:cs="Times New Roman" w:ascii="Times New Roman" w:hAnsi="Times New Roman"/>
                <w:kern w:val="2"/>
                <w:sz w:val="20"/>
                <w:szCs w:val="20"/>
                <w:vertAlign w:val="superscript"/>
                <w:lang w:eastAsia="zh-CN" w:bidi="hi-IN"/>
              </w:rPr>
              <w:t>3</w:t>
            </w:r>
          </w:p>
        </w:tc>
        <w:tc>
          <w:tcPr>
            <w:tcW w:w="85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11316</w:t>
            </w:r>
          </w:p>
        </w:tc>
        <w:tc>
          <w:tcPr>
            <w:tcW w:w="85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11272</w:t>
            </w:r>
          </w:p>
        </w:tc>
        <w:tc>
          <w:tcPr>
            <w:tcW w:w="8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10879</w:t>
            </w:r>
          </w:p>
        </w:tc>
        <w:tc>
          <w:tcPr>
            <w:tcW w:w="8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11268</w:t>
            </w:r>
          </w:p>
        </w:tc>
        <w:tc>
          <w:tcPr>
            <w:tcW w:w="85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10892</w:t>
            </w:r>
          </w:p>
        </w:tc>
        <w:tc>
          <w:tcPr>
            <w:tcW w:w="862"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9993</w:t>
            </w:r>
          </w:p>
        </w:tc>
        <w:tc>
          <w:tcPr>
            <w:tcW w:w="849"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10302</w:t>
            </w:r>
          </w:p>
        </w:tc>
        <w:tc>
          <w:tcPr>
            <w:tcW w:w="84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sz w:val="20"/>
                <w:szCs w:val="20"/>
              </w:rPr>
              <w:t>10411</w:t>
            </w:r>
          </w:p>
        </w:tc>
      </w:tr>
      <w:tr>
        <w:trPr/>
        <w:tc>
          <w:tcPr>
            <w:tcW w:w="289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Водовідведення, тис. м</w:t>
            </w:r>
            <w:r>
              <w:rPr>
                <w:rFonts w:eastAsia="NSimSun" w:cs="Times New Roman" w:ascii="Times New Roman" w:hAnsi="Times New Roman"/>
                <w:kern w:val="2"/>
                <w:sz w:val="20"/>
                <w:szCs w:val="20"/>
                <w:vertAlign w:val="superscript"/>
                <w:lang w:eastAsia="zh-CN" w:bidi="hi-IN"/>
              </w:rPr>
              <w:t>3</w:t>
            </w:r>
          </w:p>
        </w:tc>
        <w:tc>
          <w:tcPr>
            <w:tcW w:w="85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10656</w:t>
            </w:r>
          </w:p>
        </w:tc>
        <w:tc>
          <w:tcPr>
            <w:tcW w:w="85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10065</w:t>
            </w:r>
          </w:p>
        </w:tc>
        <w:tc>
          <w:tcPr>
            <w:tcW w:w="8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10104</w:t>
            </w:r>
          </w:p>
        </w:tc>
        <w:tc>
          <w:tcPr>
            <w:tcW w:w="85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10211</w:t>
            </w:r>
          </w:p>
        </w:tc>
        <w:tc>
          <w:tcPr>
            <w:tcW w:w="85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10122</w:t>
            </w:r>
          </w:p>
        </w:tc>
        <w:tc>
          <w:tcPr>
            <w:tcW w:w="862"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9240</w:t>
            </w:r>
          </w:p>
        </w:tc>
        <w:tc>
          <w:tcPr>
            <w:tcW w:w="849"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9753</w:t>
            </w:r>
          </w:p>
        </w:tc>
        <w:tc>
          <w:tcPr>
            <w:tcW w:w="84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sz w:val="20"/>
                <w:szCs w:val="20"/>
              </w:rPr>
              <w:t>9705</w:t>
            </w:r>
          </w:p>
        </w:tc>
      </w:tr>
    </w:tbl>
    <w:p>
      <w:pPr>
        <w:pStyle w:val="Normal"/>
        <w:tabs>
          <w:tab w:val="clear" w:pos="708"/>
          <w:tab w:val="left" w:pos="0" w:leader="none"/>
        </w:tabs>
        <w:spacing w:lineRule="auto" w:line="240" w:before="0" w:after="0"/>
        <w:ind w:firstLine="567"/>
        <w:jc w:val="both"/>
        <w:rPr/>
      </w:pPr>
      <w:r>
        <w:rPr>
          <w:rFonts w:eastAsia="Times New Roman" w:cs="Times New Roman" w:ascii="Times New Roman" w:hAnsi="Times New Roman"/>
          <w:color w:val="000000"/>
          <w:kern w:val="2"/>
          <w:sz w:val="24"/>
          <w:szCs w:val="24"/>
          <w:lang w:eastAsia="de-DE" w:bidi="hi-IN"/>
        </w:rPr>
        <w:t xml:space="preserve">Обробка </w:t>
      </w:r>
      <w:r>
        <w:rPr>
          <w:rFonts w:eastAsia="Times New Roman" w:cs="Times New Roman" w:ascii="Times New Roman" w:hAnsi="Times New Roman"/>
          <w:color w:val="000000"/>
          <w:kern w:val="2"/>
          <w:sz w:val="24"/>
          <w:szCs w:val="24"/>
          <w:lang w:val="en-US" w:eastAsia="de-DE" w:bidi="hi-IN"/>
        </w:rPr>
        <w:t>й</w:t>
      </w:r>
      <w:r>
        <w:rPr>
          <w:rFonts w:eastAsia="Times New Roman" w:cs="Times New Roman" w:ascii="Times New Roman" w:hAnsi="Times New Roman"/>
          <w:color w:val="000000"/>
          <w:kern w:val="2"/>
          <w:sz w:val="24"/>
          <w:szCs w:val="24"/>
          <w:lang w:eastAsia="de-DE" w:bidi="hi-IN"/>
        </w:rPr>
        <w:t xml:space="preserve"> подача води в м. Луцьку здійснюється на трьох площадках водопідготовки: Дубнівській, Омелянівській та Гнідавській. Всі площадки водопідготовки мають комплекс споруд з очищення та обробки сирої води з парком резервуарів чистої води (РЧВ) в кількості 12 шт., загальним об’ємом 51,3 тис.м</w:t>
      </w:r>
      <w:r>
        <w:rPr>
          <w:rFonts w:eastAsia="Times New Roman" w:cs="Times New Roman" w:ascii="Times New Roman" w:hAnsi="Times New Roman"/>
          <w:color w:val="000000"/>
          <w:kern w:val="2"/>
          <w:sz w:val="24"/>
          <w:szCs w:val="24"/>
          <w:vertAlign w:val="superscript"/>
          <w:lang w:eastAsia="de-DE" w:bidi="hi-IN"/>
        </w:rPr>
        <w:t>3</w:t>
      </w:r>
      <w:r>
        <w:rPr>
          <w:rFonts w:eastAsia="Times New Roman" w:cs="Times New Roman" w:ascii="Times New Roman" w:hAnsi="Times New Roman"/>
          <w:color w:val="000000"/>
          <w:kern w:val="2"/>
          <w:sz w:val="24"/>
          <w:szCs w:val="24"/>
          <w:lang w:eastAsia="de-DE" w:bidi="hi-IN"/>
        </w:rPr>
        <w:t xml:space="preserve">. В комплекс споруд входять також станції знезалізнення та гіпохлоритні установки. </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Дубнівська площадка є головним джерелом водопостачання міста (з Дубнівського, Ново-Дубнівського, Східного, Південно-Східного водозаборів) із фактичним підйомом води 32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 (проєктна продуктивність 66,5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 xml:space="preserve">/добу). </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Омелянівська площадка водопідготовки забезпечується Омелянівським водозабором потужністю 12,1 тис. 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 Реальна подача води 4,0-4,3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Гнідавська площадка водопідготовки забезпечує водою південну частину міста й обробляє воду трьох свердловин Південно-Східного водозабору і однієї свердловини потужністю 0,5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 (проєктна потужність 54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 реальна подача води 9,5-10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 xml:space="preserve">/добу). </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Подача води в місто забезпечується розгалуженою водопровідною мережею із чавунних, сталевих, азбестоцементних і поліетиленових труб діаметром 50-600 мм, протяжністю 348,1 км. Середньодобова подача води у мережу 43,2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 xml:space="preserve">/добу. </w:t>
      </w:r>
    </w:p>
    <w:p>
      <w:pPr>
        <w:pStyle w:val="Normal"/>
        <w:spacing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На балансі КП «Луцькводоканал» знаходиться річковий водозабір (р. Стир), продуктивністю 6,0 тис. 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 який станом на сьогодні знаходиться в резерві. Усі водозабірні споруди міста мають зони санітарної охорони.</w:t>
      </w:r>
    </w:p>
    <w:p>
      <w:pPr>
        <w:pStyle w:val="Normal"/>
        <w:spacing w:before="0" w:after="0"/>
        <w:ind w:firstLine="567"/>
        <w:jc w:val="both"/>
        <w:rPr/>
      </w:pPr>
      <w:r>
        <w:rPr>
          <w:rFonts w:cs="Times New Roman" w:ascii="Times New Roman" w:hAnsi="Times New Roman"/>
          <w:sz w:val="24"/>
          <w:szCs w:val="24"/>
        </w:rPr>
        <w:t xml:space="preserve">В таблиці </w:t>
      </w:r>
      <w:r>
        <w:rPr>
          <w:rFonts w:eastAsia="Times New Roman" w:cs="Times New Roman" w:ascii="Times New Roman" w:hAnsi="Times New Roman"/>
          <w:kern w:val="2"/>
          <w:sz w:val="24"/>
          <w:szCs w:val="24"/>
          <w:lang w:eastAsia="zh-CN" w:bidi="hi-IN"/>
        </w:rPr>
        <w:t>Д2.9. </w:t>
      </w:r>
      <w:r>
        <w:rPr>
          <w:rFonts w:cs="Times New Roman" w:ascii="Times New Roman" w:hAnsi="Times New Roman"/>
          <w:sz w:val="24"/>
          <w:szCs w:val="24"/>
        </w:rPr>
        <w:t>наведені технічні характеристики систем водопостачання станом на 01.01.2025.</w:t>
      </w:r>
    </w:p>
    <w:p>
      <w:pPr>
        <w:pStyle w:val="Normal"/>
        <w:spacing w:before="0" w:after="0"/>
        <w:jc w:val="center"/>
        <w:rPr/>
      </w:pPr>
      <w:r>
        <w:rPr>
          <w:rFonts w:cs="Times New Roman" w:ascii="Times New Roman" w:hAnsi="Times New Roman"/>
          <w:sz w:val="24"/>
          <w:szCs w:val="24"/>
        </w:rPr>
        <w:t xml:space="preserve">Таблиця </w:t>
      </w:r>
      <w:r>
        <w:rPr>
          <w:rFonts w:eastAsia="Times New Roman" w:cs="Times New Roman" w:ascii="Times New Roman" w:hAnsi="Times New Roman"/>
          <w:kern w:val="2"/>
          <w:sz w:val="24"/>
          <w:szCs w:val="24"/>
          <w:lang w:eastAsia="zh-CN" w:bidi="hi-IN"/>
        </w:rPr>
        <w:t>Д2.9. </w:t>
      </w:r>
      <w:r>
        <w:rPr>
          <w:rFonts w:cs="Times New Roman" w:ascii="Times New Roman" w:hAnsi="Times New Roman"/>
          <w:sz w:val="24"/>
          <w:szCs w:val="24"/>
        </w:rPr>
        <w:t>Технічні характеристики систем водопостачання</w:t>
      </w:r>
    </w:p>
    <w:tbl>
      <w:tblPr>
        <w:tblW w:w="9642" w:type="dxa"/>
        <w:jc w:val="start"/>
        <w:tblInd w:w="306" w:type="dxa"/>
        <w:tblLayout w:type="fixed"/>
        <w:tblCellMar>
          <w:top w:w="51" w:type="dxa"/>
          <w:start w:w="125" w:type="dxa"/>
          <w:bottom w:w="0" w:type="dxa"/>
          <w:end w:w="99" w:type="dxa"/>
        </w:tblCellMar>
        <w:tblLook w:firstRow="1" w:noVBand="1" w:lastRow="0" w:firstColumn="1" w:lastColumn="0" w:noHBand="0" w:val="04a0"/>
      </w:tblPr>
      <w:tblGrid>
        <w:gridCol w:w="3214"/>
        <w:gridCol w:w="3214"/>
        <w:gridCol w:w="3214"/>
      </w:tblGrid>
      <w:tr>
        <w:trPr>
          <w:trHeight w:val="695" w:hRule="atLeast"/>
        </w:trPr>
        <w:tc>
          <w:tcPr>
            <w:tcW w:w="32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Назва підприємства</w:t>
            </w:r>
          </w:p>
        </w:tc>
        <w:tc>
          <w:tcPr>
            <w:tcW w:w="32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Загальна протяжність водопровідних мереж (км)</w:t>
            </w:r>
          </w:p>
        </w:tc>
        <w:tc>
          <w:tcPr>
            <w:tcW w:w="32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ind w:start="113" w:end="227"/>
              <w:jc w:val="center"/>
              <w:rPr/>
            </w:pPr>
            <w:r>
              <w:rPr>
                <w:rFonts w:eastAsia="NSimSun" w:cs="Times New Roman" w:ascii="Times New Roman" w:hAnsi="Times New Roman"/>
                <w:kern w:val="2"/>
                <w:sz w:val="20"/>
                <w:szCs w:val="20"/>
                <w:shd w:fill="FFFFFF" w:val="clear"/>
                <w:lang w:eastAsia="zh-CN" w:bidi="hi-IN"/>
              </w:rPr>
              <w:t>Загальна протяжність водовідводів (км)</w:t>
            </w:r>
          </w:p>
        </w:tc>
      </w:tr>
      <w:tr>
        <w:trPr>
          <w:trHeight w:val="235" w:hRule="atLeast"/>
        </w:trPr>
        <w:tc>
          <w:tcPr>
            <w:tcW w:w="3214"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КП «Луцькводоканал»</w:t>
            </w:r>
          </w:p>
        </w:tc>
        <w:tc>
          <w:tcPr>
            <w:tcW w:w="3214"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664,45</w:t>
            </w:r>
          </w:p>
        </w:tc>
        <w:tc>
          <w:tcPr>
            <w:tcW w:w="3214"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418,7</w:t>
            </w:r>
          </w:p>
        </w:tc>
      </w:tr>
    </w:tbl>
    <w:p>
      <w:pPr>
        <w:pStyle w:val="Normal"/>
        <w:spacing w:lineRule="auto" w:line="240" w:before="0" w:after="0"/>
        <w:ind w:firstLine="567"/>
        <w:jc w:val="both"/>
        <w:rPr/>
      </w:pPr>
      <w:r>
        <w:rPr>
          <w:rFonts w:eastAsia="NSimSun" w:cs="Times New Roman" w:ascii="Times New Roman" w:hAnsi="Times New Roman"/>
          <w:kern w:val="2"/>
          <w:sz w:val="24"/>
          <w:szCs w:val="24"/>
          <w:lang w:eastAsia="zh-CN" w:bidi="hi-IN"/>
        </w:rPr>
        <w:t xml:space="preserve">В таблиці </w:t>
      </w:r>
      <w:r>
        <w:rPr>
          <w:rFonts w:eastAsia="Times New Roman" w:cs="Times New Roman" w:ascii="Times New Roman" w:hAnsi="Times New Roman"/>
          <w:kern w:val="2"/>
          <w:sz w:val="24"/>
          <w:szCs w:val="24"/>
          <w:lang w:eastAsia="zh-CN" w:bidi="hi-IN"/>
        </w:rPr>
        <w:t xml:space="preserve">Д2.10. </w:t>
      </w:r>
      <w:r>
        <w:rPr>
          <w:rFonts w:eastAsia="NSimSun" w:cs="Times New Roman" w:ascii="Times New Roman" w:hAnsi="Times New Roman"/>
          <w:kern w:val="2"/>
          <w:sz w:val="24"/>
          <w:szCs w:val="24"/>
          <w:lang w:eastAsia="zh-CN" w:bidi="hi-IN"/>
        </w:rPr>
        <w:t xml:space="preserve"> наведені дані щодо стану мереж КП «Луцькводоканал» станом на 01.01.2025.</w:t>
      </w:r>
    </w:p>
    <w:p>
      <w:pPr>
        <w:pStyle w:val="Normal"/>
        <w:spacing w:lineRule="auto" w:line="240" w:before="0" w:after="0"/>
        <w:jc w:val="center"/>
        <w:rPr/>
      </w:pPr>
      <w:r>
        <w:rPr>
          <w:rFonts w:eastAsia="NSimSun" w:cs="Times New Roman" w:ascii="Times New Roman" w:hAnsi="Times New Roman"/>
          <w:kern w:val="2"/>
          <w:sz w:val="24"/>
          <w:szCs w:val="24"/>
          <w:lang w:eastAsia="zh-CN" w:bidi="hi-IN"/>
        </w:rPr>
        <w:t xml:space="preserve">Таблиця </w:t>
      </w:r>
      <w:r>
        <w:rPr>
          <w:rFonts w:eastAsia="Times New Roman" w:cs="Times New Roman" w:ascii="Times New Roman" w:hAnsi="Times New Roman"/>
          <w:kern w:val="2"/>
          <w:sz w:val="24"/>
          <w:szCs w:val="24"/>
          <w:lang w:eastAsia="zh-CN" w:bidi="hi-IN"/>
        </w:rPr>
        <w:t xml:space="preserve">Д2.10. </w:t>
      </w:r>
      <w:r>
        <w:rPr>
          <w:rFonts w:eastAsia="NSimSun" w:cs="Times New Roman" w:ascii="Times New Roman" w:hAnsi="Times New Roman"/>
          <w:kern w:val="2"/>
          <w:sz w:val="24"/>
          <w:szCs w:val="24"/>
          <w:lang w:eastAsia="zh-CN" w:bidi="hi-IN"/>
        </w:rPr>
        <w:t>Стан мереж КП «Луцькводоканал»</w:t>
      </w:r>
    </w:p>
    <w:tbl>
      <w:tblPr>
        <w:tblW w:w="9615" w:type="dxa"/>
        <w:jc w:val="start"/>
        <w:tblInd w:w="368" w:type="dxa"/>
        <w:tblLayout w:type="fixed"/>
        <w:tblCellMar>
          <w:top w:w="51" w:type="dxa"/>
          <w:start w:w="126" w:type="dxa"/>
          <w:bottom w:w="0" w:type="dxa"/>
          <w:end w:w="115" w:type="dxa"/>
        </w:tblCellMar>
        <w:tblLook w:firstRow="1" w:noVBand="1" w:lastRow="0" w:firstColumn="1" w:lastColumn="0" w:noHBand="0" w:val="04a0"/>
      </w:tblPr>
      <w:tblGrid>
        <w:gridCol w:w="3205"/>
        <w:gridCol w:w="3205"/>
        <w:gridCol w:w="3205"/>
      </w:tblGrid>
      <w:tr>
        <w:trPr>
          <w:trHeight w:val="465" w:hRule="atLeast"/>
        </w:trPr>
        <w:tc>
          <w:tcPr>
            <w:tcW w:w="320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Назва підприємства-водопостачальника</w:t>
            </w:r>
          </w:p>
        </w:tc>
        <w:tc>
          <w:tcPr>
            <w:tcW w:w="320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Рівень зношеності мережі водопостачання/водовідведення (%)</w:t>
            </w:r>
          </w:p>
        </w:tc>
        <w:tc>
          <w:tcPr>
            <w:tcW w:w="320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Невраховані втрати води в мережі (%)</w:t>
            </w:r>
          </w:p>
        </w:tc>
      </w:tr>
      <w:tr>
        <w:trPr>
          <w:trHeight w:val="235" w:hRule="atLeast"/>
        </w:trPr>
        <w:tc>
          <w:tcPr>
            <w:tcW w:w="320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КП «Луцькводоканал»</w:t>
            </w:r>
          </w:p>
        </w:tc>
        <w:tc>
          <w:tcPr>
            <w:tcW w:w="320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57/54</w:t>
            </w:r>
          </w:p>
        </w:tc>
        <w:tc>
          <w:tcPr>
            <w:tcW w:w="3205"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color w:val="000000"/>
                <w:kern w:val="2"/>
                <w:sz w:val="20"/>
                <w:szCs w:val="20"/>
                <w:lang w:eastAsia="zh-CN" w:bidi="hi-IN"/>
              </w:rPr>
              <w:t>35,9</w:t>
            </w:r>
          </w:p>
        </w:tc>
      </w:tr>
    </w:tbl>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Водовідведення м. Луцька здійснюється по неповній роздільній схемі. У центральній частині міста існує загальносплавна система (побудована в 1939 році), у північній – частково роздільна та загальносплавна, у східній та західній частинах – повна роздільна.</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Відведення й очищення побутових та виробничих стічних вод здійснюється загальноміською централізованою системою каналізації. Очисні споруди міської системи каналізації щорічно відводять та очищають близько 17,41 млн 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 xml:space="preserve"> стічних вод (понад 47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/добу). Установлена виробнича потужність системи каналізації 120,0 тис.м</w:t>
      </w:r>
      <w:r>
        <w:rPr>
          <w:rFonts w:eastAsia="Times New Roman" w:cs="Times New Roman" w:ascii="Times New Roman" w:hAnsi="Times New Roman"/>
          <w:color w:val="000000"/>
          <w:kern w:val="2"/>
          <w:sz w:val="24"/>
          <w:szCs w:val="24"/>
          <w:shd w:fill="FFFFFF" w:val="clear"/>
          <w:vertAlign w:val="superscript"/>
          <w:lang w:eastAsia="de-DE" w:bidi="hi-IN"/>
        </w:rPr>
        <w:t>3</w:t>
      </w:r>
      <w:r>
        <w:rPr>
          <w:rFonts w:eastAsia="Times New Roman" w:cs="Times New Roman" w:ascii="Times New Roman" w:hAnsi="Times New Roman"/>
          <w:color w:val="000000"/>
          <w:kern w:val="2"/>
          <w:sz w:val="24"/>
          <w:szCs w:val="24"/>
          <w:shd w:fill="FFFFFF" w:val="clear"/>
          <w:lang w:eastAsia="de-DE" w:bidi="hi-IN"/>
        </w:rPr>
        <w:t xml:space="preserve">/добу. </w:t>
      </w:r>
      <w:r>
        <w:rPr>
          <w:rFonts w:eastAsia="Times New Roman" w:cs="Times New Roman" w:ascii="Times New Roman" w:hAnsi="Times New Roman"/>
          <w:color w:val="000000"/>
          <w:sz w:val="24"/>
          <w:szCs w:val="24"/>
          <w:shd w:fill="FFFFFF" w:val="clear"/>
          <w:lang w:eastAsia="de-DE"/>
        </w:rPr>
        <w:t>Установлена виробнича потужність очисних споруд 102,5 тис.м</w:t>
      </w:r>
      <w:r>
        <w:rPr>
          <w:rFonts w:eastAsia="Times New Roman" w:cs="Times New Roman" w:ascii="Times New Roman" w:hAnsi="Times New Roman"/>
          <w:color w:val="000000"/>
          <w:sz w:val="24"/>
          <w:szCs w:val="24"/>
          <w:shd w:fill="FFFFFF" w:val="clear"/>
          <w:vertAlign w:val="superscript"/>
          <w:lang w:eastAsia="de-DE"/>
        </w:rPr>
        <w:t>3</w:t>
      </w:r>
      <w:r>
        <w:rPr>
          <w:rFonts w:eastAsia="Times New Roman" w:cs="Times New Roman" w:ascii="Times New Roman" w:hAnsi="Times New Roman"/>
          <w:color w:val="000000"/>
          <w:sz w:val="24"/>
          <w:szCs w:val="24"/>
          <w:shd w:fill="FFFFFF" w:val="clear"/>
          <w:lang w:eastAsia="de-DE"/>
        </w:rPr>
        <w:t>/добу</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shd w:fill="FFFFFF" w:val="clear"/>
          <w:lang w:eastAsia="de-DE" w:bidi="hi-IN"/>
        </w:rPr>
        <w:t xml:space="preserve">Сумарна протяжність головних колекторів 52,4 км, із них застарілих та аварійних 24,1 км (46 %). Протяжність вуличної каналізаційної мережі 50,7 км, із неї застарілої та аварійної 22,3 км (44  %). Протяжність внутрішньодворової мережі 315,6 км, із неї застарілої та аварійної 177,8 км (56 %). </w:t>
      </w:r>
    </w:p>
    <w:p>
      <w:pPr>
        <w:pStyle w:val="Normal"/>
        <w:spacing w:lineRule="auto" w:line="240" w:before="0" w:after="0"/>
        <w:ind w:firstLine="567"/>
        <w:jc w:val="both"/>
        <w:rPr>
          <w:color w:val="000000"/>
        </w:rPr>
      </w:pPr>
      <w:r>
        <w:rPr>
          <w:rFonts w:eastAsia="Times New Roman" w:cs="Times New Roman" w:ascii="Times New Roman" w:hAnsi="Times New Roman"/>
          <w:color w:val="000000"/>
          <w:kern w:val="2"/>
          <w:sz w:val="24"/>
          <w:szCs w:val="24"/>
          <w:shd w:fill="FFFFFF" w:val="clear"/>
          <w:lang w:eastAsia="de-DE" w:bidi="hi-IN"/>
        </w:rPr>
        <w:t>Житловий фонд міста Луцьк обладнано централізованою системою каналізації на понад 91 %. Садибна забудова частково не каналізована, мешканці користуються вигрібними ямами.</w:t>
      </w:r>
    </w:p>
    <w:p>
      <w:pPr>
        <w:pStyle w:val="Normal"/>
        <w:spacing w:before="0" w:after="0"/>
        <w:ind w:firstLine="567"/>
        <w:jc w:val="both"/>
        <w:rPr/>
      </w:pPr>
      <w:r>
        <w:rPr>
          <w:rFonts w:eastAsia="NSimSun" w:cs="Times New Roman" w:ascii="Times New Roman" w:hAnsi="Times New Roman"/>
          <w:kern w:val="2"/>
          <w:sz w:val="24"/>
          <w:szCs w:val="24"/>
          <w:lang w:eastAsia="zh-CN" w:bidi="hi-IN"/>
        </w:rPr>
        <w:t>Інформація щодо загальних обсягів</w:t>
        <w:tab/>
        <w:t xml:space="preserve">водопостачання та водовідведення надано в таблиці </w:t>
      </w:r>
      <w:r>
        <w:rPr>
          <w:rFonts w:eastAsia="Times New Roman" w:cs="Times New Roman" w:ascii="Times New Roman" w:hAnsi="Times New Roman"/>
          <w:kern w:val="2"/>
          <w:sz w:val="24"/>
          <w:szCs w:val="24"/>
          <w:lang w:eastAsia="zh-CN" w:bidi="hi-IN"/>
        </w:rPr>
        <w:t xml:space="preserve">Д2.11. </w:t>
      </w:r>
      <w:r>
        <w:rPr>
          <w:rFonts w:eastAsia="NSimSun" w:cs="Times New Roman" w:ascii="Times New Roman" w:hAnsi="Times New Roman"/>
          <w:kern w:val="2"/>
          <w:sz w:val="24"/>
          <w:szCs w:val="24"/>
          <w:lang w:eastAsia="zh-CN" w:bidi="hi-IN"/>
        </w:rPr>
        <w:t xml:space="preserve">та на рисунку </w:t>
      </w:r>
      <w:r>
        <w:rPr>
          <w:rFonts w:eastAsia="Times New Roman" w:cs="Times New Roman" w:ascii="Times New Roman" w:hAnsi="Times New Roman"/>
          <w:kern w:val="2"/>
          <w:sz w:val="24"/>
          <w:szCs w:val="24"/>
          <w:lang w:eastAsia="zh-CN" w:bidi="hi-IN"/>
        </w:rPr>
        <w:t xml:space="preserve">Д2.8. </w:t>
      </w:r>
    </w:p>
    <w:p>
      <w:pPr>
        <w:pStyle w:val="Normal"/>
        <w:spacing w:before="0" w:after="0"/>
        <w:jc w:val="center"/>
        <w:rPr/>
      </w:pPr>
      <w:r>
        <w:rPr>
          <w:rFonts w:eastAsia="NSimSun" w:cs="Times New Roman" w:ascii="Times New Roman" w:hAnsi="Times New Roman"/>
          <w:color w:val="000000"/>
          <w:kern w:val="2"/>
          <w:sz w:val="24"/>
          <w:szCs w:val="24"/>
          <w:lang w:eastAsia="zh-CN" w:bidi="hi-IN"/>
        </w:rPr>
        <w:t xml:space="preserve">Таблиця </w:t>
      </w:r>
      <w:r>
        <w:rPr>
          <w:rFonts w:eastAsia="Times New Roman" w:cs="Times New Roman" w:ascii="Times New Roman" w:hAnsi="Times New Roman"/>
          <w:color w:val="000000"/>
          <w:kern w:val="2"/>
          <w:sz w:val="24"/>
          <w:szCs w:val="24"/>
          <w:lang w:eastAsia="zh-CN" w:bidi="hi-IN"/>
        </w:rPr>
        <w:t>Д2.11. </w:t>
      </w:r>
      <w:r>
        <w:rPr>
          <w:rFonts w:eastAsia="NSimSun" w:cs="Times New Roman" w:ascii="Times New Roman" w:hAnsi="Times New Roman"/>
          <w:color w:val="000000"/>
          <w:kern w:val="2"/>
          <w:sz w:val="24"/>
          <w:szCs w:val="24"/>
          <w:lang w:eastAsia="zh-CN" w:bidi="hi-IN"/>
        </w:rPr>
        <w:t xml:space="preserve">Загальні обсяги водопостачання, водовідведення та стічних вод </w:t>
      </w:r>
    </w:p>
    <w:tbl>
      <w:tblPr>
        <w:tblW w:w="9674" w:type="dxa"/>
        <w:jc w:val="start"/>
        <w:tblInd w:w="212" w:type="dxa"/>
        <w:tblLayout w:type="fixed"/>
        <w:tblCellMar>
          <w:top w:w="0" w:type="dxa"/>
          <w:start w:w="108" w:type="dxa"/>
          <w:bottom w:w="0" w:type="dxa"/>
          <w:end w:w="108" w:type="dxa"/>
        </w:tblCellMar>
        <w:tblLook w:firstRow="1" w:noVBand="1" w:lastRow="0" w:firstColumn="1" w:lastColumn="0" w:noHBand="0" w:val="04a0"/>
      </w:tblPr>
      <w:tblGrid>
        <w:gridCol w:w="2372"/>
        <w:gridCol w:w="913"/>
        <w:gridCol w:w="910"/>
        <w:gridCol w:w="913"/>
        <w:gridCol w:w="915"/>
        <w:gridCol w:w="918"/>
        <w:gridCol w:w="906"/>
        <w:gridCol w:w="913"/>
        <w:gridCol w:w="913"/>
      </w:tblGrid>
      <w:tr>
        <w:trPr/>
        <w:tc>
          <w:tcPr>
            <w:tcW w:w="2372" w:type="dxa"/>
            <w:vMerge w:val="restart"/>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Параметр</w:t>
            </w:r>
          </w:p>
        </w:tc>
        <w:tc>
          <w:tcPr>
            <w:tcW w:w="7301" w:type="dxa"/>
            <w:gridSpan w:val="8"/>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Роки</w:t>
            </w:r>
          </w:p>
        </w:tc>
      </w:tr>
      <w:tr>
        <w:trPr/>
        <w:tc>
          <w:tcPr>
            <w:tcW w:w="2372" w:type="dxa"/>
            <w:vMerge w:val="continue"/>
            <w:tcBorders>
              <w:start w:val="single" w:sz="2" w:space="0" w:color="000000"/>
              <w:bottom w:val="single" w:sz="2" w:space="0" w:color="000000"/>
            </w:tcBorders>
            <w:vAlign w:val="center"/>
          </w:tcPr>
          <w:p>
            <w:pPr>
              <w:pStyle w:val="Normal"/>
              <w:spacing w:before="0" w:after="200"/>
              <w:rPr/>
            </w:pPr>
            <w:r>
              <w:rPr/>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2017</w:t>
            </w:r>
          </w:p>
        </w:tc>
        <w:tc>
          <w:tcPr>
            <w:tcW w:w="910"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2018</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2019</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2020</w:t>
            </w:r>
          </w:p>
        </w:tc>
        <w:tc>
          <w:tcPr>
            <w:tcW w:w="91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2021</w:t>
            </w:r>
          </w:p>
        </w:tc>
        <w:tc>
          <w:tcPr>
            <w:tcW w:w="90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2022</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2023</w:t>
            </w:r>
          </w:p>
        </w:tc>
        <w:tc>
          <w:tcPr>
            <w:tcW w:w="913"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2024</w:t>
            </w:r>
          </w:p>
        </w:tc>
      </w:tr>
      <w:tr>
        <w:trPr/>
        <w:tc>
          <w:tcPr>
            <w:tcW w:w="2372"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Загальна кількість води, що надана споживачеві*, тис. м</w:t>
            </w:r>
            <w:r>
              <w:rPr>
                <w:rFonts w:cs="Times New Roman" w:ascii="Times New Roman" w:hAnsi="Times New Roman"/>
                <w:color w:val="000000"/>
                <w:sz w:val="20"/>
                <w:szCs w:val="20"/>
                <w:vertAlign w:val="superscript"/>
              </w:rPr>
              <w:t>3</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11316,1</w:t>
            </w:r>
          </w:p>
        </w:tc>
        <w:tc>
          <w:tcPr>
            <w:tcW w:w="910"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11272,0</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10879,2</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11435,6</w:t>
            </w:r>
          </w:p>
        </w:tc>
        <w:tc>
          <w:tcPr>
            <w:tcW w:w="91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10892,0</w:t>
            </w:r>
          </w:p>
        </w:tc>
        <w:tc>
          <w:tcPr>
            <w:tcW w:w="90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9993,0</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10302,4</w:t>
            </w:r>
          </w:p>
        </w:tc>
        <w:tc>
          <w:tcPr>
            <w:tcW w:w="913"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10410,0</w:t>
            </w:r>
          </w:p>
        </w:tc>
      </w:tr>
      <w:tr>
        <w:trPr/>
        <w:tc>
          <w:tcPr>
            <w:tcW w:w="2372"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Загальна кількість виробленої питної води, тис. м</w:t>
            </w:r>
            <w:r>
              <w:rPr>
                <w:rFonts w:cs="Times New Roman" w:ascii="Times New Roman" w:hAnsi="Times New Roman"/>
                <w:color w:val="000000"/>
                <w:sz w:val="20"/>
                <w:szCs w:val="20"/>
                <w:vertAlign w:val="superscript"/>
              </w:rPr>
              <w:t>3</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15717,4</w:t>
            </w:r>
          </w:p>
        </w:tc>
        <w:tc>
          <w:tcPr>
            <w:tcW w:w="910"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16676,4</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15735,0</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15431,2</w:t>
            </w:r>
          </w:p>
        </w:tc>
        <w:tc>
          <w:tcPr>
            <w:tcW w:w="91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15418,2</w:t>
            </w:r>
          </w:p>
        </w:tc>
        <w:tc>
          <w:tcPr>
            <w:tcW w:w="90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15234,1</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16041,0</w:t>
            </w:r>
          </w:p>
        </w:tc>
        <w:tc>
          <w:tcPr>
            <w:tcW w:w="913"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16692,5</w:t>
            </w:r>
          </w:p>
        </w:tc>
      </w:tr>
      <w:tr>
        <w:trPr/>
        <w:tc>
          <w:tcPr>
            <w:tcW w:w="2372"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Загальна кількість стічних вод**, тис. м</w:t>
            </w:r>
            <w:r>
              <w:rPr>
                <w:rFonts w:cs="Times New Roman" w:ascii="Times New Roman" w:hAnsi="Times New Roman"/>
                <w:color w:val="000000"/>
                <w:sz w:val="20"/>
                <w:szCs w:val="20"/>
                <w:vertAlign w:val="superscript"/>
              </w:rPr>
              <w:t>3</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10065,0</w:t>
            </w:r>
          </w:p>
          <w:p>
            <w:pPr>
              <w:pStyle w:val="Normal"/>
              <w:widowControl w:val="false"/>
              <w:spacing w:lineRule="auto" w:line="240" w:before="0" w:after="0"/>
              <w:contextualSpacing/>
              <w:jc w:val="center"/>
              <w:rPr/>
            </w:pPr>
            <w:r>
              <w:rPr>
                <w:rFonts w:ascii="Times New Roman" w:hAnsi="Times New Roman"/>
                <w:color w:val="000000"/>
                <w:sz w:val="20"/>
                <w:szCs w:val="20"/>
              </w:rPr>
              <w:t>16778,0</w:t>
            </w:r>
          </w:p>
        </w:tc>
        <w:tc>
          <w:tcPr>
            <w:tcW w:w="910"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10104,0</w:t>
            </w:r>
          </w:p>
          <w:p>
            <w:pPr>
              <w:pStyle w:val="Normal"/>
              <w:widowControl w:val="false"/>
              <w:spacing w:lineRule="auto" w:line="240" w:before="0" w:after="0"/>
              <w:contextualSpacing/>
              <w:jc w:val="center"/>
              <w:rPr/>
            </w:pPr>
            <w:r>
              <w:rPr>
                <w:rFonts w:ascii="Times New Roman" w:hAnsi="Times New Roman"/>
                <w:color w:val="000000"/>
                <w:sz w:val="20"/>
                <w:szCs w:val="20"/>
              </w:rPr>
              <w:t>17594,0</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10211,0</w:t>
            </w:r>
          </w:p>
          <w:p>
            <w:pPr>
              <w:pStyle w:val="Normal"/>
              <w:widowControl w:val="false"/>
              <w:spacing w:lineRule="auto" w:line="240" w:before="0" w:after="0"/>
              <w:contextualSpacing/>
              <w:jc w:val="center"/>
              <w:rPr/>
            </w:pPr>
            <w:r>
              <w:rPr>
                <w:rFonts w:ascii="Times New Roman" w:hAnsi="Times New Roman"/>
                <w:color w:val="000000"/>
                <w:sz w:val="20"/>
                <w:szCs w:val="20"/>
              </w:rPr>
              <w:t>17660,0</w:t>
            </w:r>
          </w:p>
        </w:tc>
        <w:tc>
          <w:tcPr>
            <w:tcW w:w="91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u w:val="single"/>
              </w:rPr>
              <w:t>10211,4</w:t>
            </w:r>
          </w:p>
          <w:p>
            <w:pPr>
              <w:pStyle w:val="Normal"/>
              <w:widowControl w:val="false"/>
              <w:spacing w:lineRule="auto" w:line="240" w:before="0" w:after="0"/>
              <w:contextualSpacing/>
              <w:jc w:val="center"/>
              <w:rPr/>
            </w:pPr>
            <w:r>
              <w:rPr>
                <w:rFonts w:cs="Times New Roman" w:ascii="Times New Roman" w:hAnsi="Times New Roman"/>
                <w:color w:val="000000"/>
                <w:sz w:val="20"/>
                <w:szCs w:val="20"/>
              </w:rPr>
              <w:t>17660,3</w:t>
            </w:r>
          </w:p>
        </w:tc>
        <w:tc>
          <w:tcPr>
            <w:tcW w:w="918"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9240,0</w:t>
            </w:r>
          </w:p>
          <w:p>
            <w:pPr>
              <w:pStyle w:val="Normal"/>
              <w:widowControl w:val="false"/>
              <w:spacing w:lineRule="auto" w:line="240" w:before="0" w:after="0"/>
              <w:contextualSpacing/>
              <w:jc w:val="center"/>
              <w:rPr/>
            </w:pPr>
            <w:r>
              <w:rPr>
                <w:rFonts w:ascii="Times New Roman" w:hAnsi="Times New Roman"/>
                <w:color w:val="000000"/>
                <w:sz w:val="20"/>
                <w:szCs w:val="20"/>
              </w:rPr>
              <w:t>13024,0</w:t>
            </w:r>
          </w:p>
        </w:tc>
        <w:tc>
          <w:tcPr>
            <w:tcW w:w="90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u w:val="single"/>
              </w:rPr>
              <w:t>9239,7</w:t>
            </w:r>
          </w:p>
          <w:p>
            <w:pPr>
              <w:pStyle w:val="Normal"/>
              <w:widowControl w:val="false"/>
              <w:spacing w:lineRule="auto" w:line="240" w:before="0" w:after="0"/>
              <w:contextualSpacing/>
              <w:jc w:val="center"/>
              <w:rPr/>
            </w:pPr>
            <w:r>
              <w:rPr>
                <w:rFonts w:cs="Times New Roman" w:ascii="Times New Roman" w:hAnsi="Times New Roman"/>
                <w:color w:val="000000"/>
                <w:sz w:val="20"/>
                <w:szCs w:val="20"/>
              </w:rPr>
              <w:t>13024,4</w:t>
            </w:r>
          </w:p>
        </w:tc>
        <w:tc>
          <w:tcPr>
            <w:tcW w:w="913"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9752,9</w:t>
            </w:r>
          </w:p>
          <w:p>
            <w:pPr>
              <w:pStyle w:val="Normal"/>
              <w:widowControl w:val="false"/>
              <w:spacing w:lineRule="auto" w:line="240" w:before="0" w:after="0"/>
              <w:contextualSpacing/>
              <w:jc w:val="center"/>
              <w:rPr/>
            </w:pPr>
            <w:r>
              <w:rPr>
                <w:rFonts w:ascii="Times New Roman" w:hAnsi="Times New Roman"/>
                <w:color w:val="000000"/>
                <w:sz w:val="20"/>
                <w:szCs w:val="20"/>
              </w:rPr>
              <w:t>14812,9</w:t>
            </w:r>
          </w:p>
        </w:tc>
        <w:tc>
          <w:tcPr>
            <w:tcW w:w="913"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u w:val="single"/>
              </w:rPr>
              <w:t>9704,8</w:t>
            </w:r>
          </w:p>
          <w:p>
            <w:pPr>
              <w:pStyle w:val="Normal"/>
              <w:widowControl w:val="false"/>
              <w:spacing w:lineRule="auto" w:line="240" w:before="0" w:after="0"/>
              <w:contextualSpacing/>
              <w:jc w:val="center"/>
              <w:rPr/>
            </w:pPr>
            <w:r>
              <w:rPr>
                <w:rFonts w:ascii="Times New Roman" w:hAnsi="Times New Roman"/>
                <w:color w:val="000000"/>
                <w:sz w:val="20"/>
                <w:szCs w:val="20"/>
              </w:rPr>
              <w:t>16308,7</w:t>
            </w:r>
          </w:p>
        </w:tc>
      </w:tr>
    </w:tbl>
    <w:p>
      <w:pPr>
        <w:pStyle w:val="Normal"/>
        <w:spacing w:lineRule="auto" w:line="240" w:before="0" w:after="0"/>
        <w:ind w:hanging="720" w:start="720"/>
        <w:rPr/>
      </w:pPr>
      <w:r>
        <w:rPr>
          <w:rFonts w:eastAsia="NSimSun" w:cs="Times New Roman" w:ascii="Times New Roman" w:hAnsi="Times New Roman"/>
          <w:color w:themeColor="dark1" w:val="000000"/>
          <w:kern w:val="2"/>
          <w:sz w:val="20"/>
          <w:szCs w:val="20"/>
          <w:lang w:eastAsia="zh-CN" w:bidi="hi-IN"/>
        </w:rPr>
        <w:t>*- згідно виставлених рахунків; **- чисельник - реалізація, знаменник - пропуск через систему</w:t>
      </w:r>
    </w:p>
    <w:p>
      <w:pPr>
        <w:pStyle w:val="Normal"/>
        <w:spacing w:lineRule="auto" w:line="240" w:before="0" w:after="0"/>
        <w:ind w:hanging="720" w:start="720"/>
        <w:rPr>
          <w:sz w:val="20"/>
          <w:szCs w:val="20"/>
        </w:rPr>
      </w:pPr>
      <w:r>
        <w:rPr>
          <w:sz w:val="20"/>
          <w:szCs w:val="20"/>
        </w:rP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4424680" cy="2489200"/>
            <wp:effectExtent l="0" t="0" r="0" b="0"/>
            <wp:wrapSquare wrapText="largest"/>
            <wp:docPr id="35" name="Об'єкт53"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anchor>
        </w:drawing>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hanging="720" w:start="72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pPr>
      <w:r>
        <w:rPr>
          <w:rFonts w:eastAsia="NSimSun" w:cs="Times New Roman" w:ascii="Times New Roman" w:hAnsi="Times New Roman"/>
          <w:kern w:val="2"/>
          <w:sz w:val="24"/>
          <w:szCs w:val="24"/>
          <w:lang w:eastAsia="zh-CN" w:bidi="hi-IN"/>
        </w:rPr>
        <w:t xml:space="preserve">Рисунок </w:t>
      </w:r>
      <w:r>
        <w:rPr>
          <w:rFonts w:eastAsia="Times New Roman" w:cs="Times New Roman" w:ascii="Times New Roman" w:hAnsi="Times New Roman"/>
          <w:kern w:val="2"/>
          <w:sz w:val="24"/>
          <w:szCs w:val="24"/>
          <w:lang w:eastAsia="zh-CN" w:bidi="hi-IN"/>
        </w:rPr>
        <w:t>Д2.8 </w:t>
      </w:r>
      <w:r>
        <w:rPr>
          <w:rFonts w:eastAsia="NSimSun" w:cs="Times New Roman" w:ascii="Times New Roman" w:hAnsi="Times New Roman"/>
          <w:kern w:val="2"/>
          <w:sz w:val="24"/>
          <w:szCs w:val="24"/>
          <w:lang w:eastAsia="zh-CN" w:bidi="hi-IN"/>
        </w:rPr>
        <w:t>Загальні обсяги водопост</w:t>
      </w:r>
      <w:r>
        <w:rPr>
          <w:rFonts w:eastAsia="NSimSun" w:cs="Times New Roman" w:ascii="Times New Roman" w:hAnsi="Times New Roman"/>
          <w:kern w:val="2"/>
          <w:sz w:val="24"/>
          <w:szCs w:val="24"/>
          <w:lang w:eastAsia="zh-CN" w:bidi="hi-IN"/>
        </w:rPr>
        <w:t>а</w:t>
      </w:r>
      <w:r>
        <w:rPr>
          <w:rFonts w:eastAsia="NSimSun" w:cs="Times New Roman" w:ascii="Times New Roman" w:hAnsi="Times New Roman"/>
          <w:kern w:val="2"/>
          <w:sz w:val="24"/>
          <w:szCs w:val="24"/>
          <w:lang w:eastAsia="zh-CN" w:bidi="hi-IN"/>
        </w:rPr>
        <w:t xml:space="preserve">чання в Луцькій МТГ </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Аналіз загальної кількості води, що надана споживачеві Луцької МТГ, показує, що відсоток зменшення обсягів споживання води в порівнянні 2024 із 2017 роками склав 8 %.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Обсяг та розподіл споживання води за категоріями споживачів наведено у таблиці </w:t>
      </w:r>
      <w:r>
        <w:rPr>
          <w:rFonts w:eastAsia="Times New Roman" w:cs="Times New Roman" w:ascii="Times New Roman" w:hAnsi="Times New Roman"/>
          <w:kern w:val="2"/>
          <w:sz w:val="24"/>
          <w:szCs w:val="24"/>
          <w:lang w:eastAsia="zh-CN" w:bidi="hi-IN"/>
        </w:rPr>
        <w:t>Д2.12.</w:t>
      </w:r>
      <w:r>
        <w:rPr>
          <w:rFonts w:eastAsia="NSimSun" w:cs="Times New Roman" w:ascii="Times New Roman" w:hAnsi="Times New Roman"/>
          <w:kern w:val="2"/>
          <w:sz w:val="24"/>
          <w:szCs w:val="24"/>
          <w:lang w:eastAsia="zh-CN" w:bidi="hi-IN"/>
        </w:rPr>
        <w:t xml:space="preserve">, а у таблиці </w:t>
      </w:r>
      <w:r>
        <w:rPr>
          <w:rFonts w:eastAsia="Times New Roman" w:cs="Times New Roman" w:ascii="Times New Roman" w:hAnsi="Times New Roman"/>
          <w:kern w:val="2"/>
          <w:sz w:val="24"/>
          <w:szCs w:val="24"/>
          <w:lang w:eastAsia="zh-CN" w:bidi="hi-IN"/>
        </w:rPr>
        <w:t xml:space="preserve">Д2.13. </w:t>
      </w:r>
      <w:r>
        <w:rPr>
          <w:rFonts w:eastAsia="NSimSun" w:cs="Times New Roman" w:ascii="Times New Roman" w:hAnsi="Times New Roman"/>
          <w:kern w:val="2"/>
          <w:sz w:val="24"/>
          <w:szCs w:val="24"/>
          <w:lang w:eastAsia="zh-CN" w:bidi="hi-IN"/>
        </w:rPr>
        <w:t>зведено обсяги водовідведення у розподілі за категоріями споживачів.</w:t>
      </w:r>
    </w:p>
    <w:p>
      <w:pPr>
        <w:pStyle w:val="Normal"/>
        <w:spacing w:before="0" w:after="0"/>
        <w:jc w:val="center"/>
        <w:rPr/>
      </w:pPr>
      <w:r>
        <w:rPr>
          <w:rFonts w:eastAsia="NSimSun" w:cs="Times New Roman" w:ascii="Times New Roman" w:hAnsi="Times New Roman"/>
          <w:color w:val="000000"/>
          <w:kern w:val="2"/>
          <w:sz w:val="24"/>
          <w:szCs w:val="24"/>
          <w:lang w:eastAsia="zh-CN" w:bidi="hi-IN"/>
        </w:rPr>
        <w:t>Таблиця </w:t>
      </w:r>
      <w:r>
        <w:rPr>
          <w:rFonts w:eastAsia="Times New Roman" w:cs="Times New Roman" w:ascii="Times New Roman" w:hAnsi="Times New Roman"/>
          <w:color w:val="000000"/>
          <w:kern w:val="2"/>
          <w:sz w:val="24"/>
          <w:szCs w:val="24"/>
          <w:lang w:eastAsia="zh-CN" w:bidi="hi-IN"/>
        </w:rPr>
        <w:t>Д2.12 </w:t>
      </w:r>
      <w:r>
        <w:rPr>
          <w:rFonts w:eastAsia="NSimSun" w:cs="Times New Roman" w:ascii="Times New Roman" w:hAnsi="Times New Roman"/>
          <w:color w:val="000000"/>
          <w:kern w:val="2"/>
          <w:sz w:val="24"/>
          <w:szCs w:val="24"/>
          <w:lang w:eastAsia="zh-CN" w:bidi="hi-IN"/>
        </w:rPr>
        <w:t>Споживання води за категоріями споживачів міста</w:t>
      </w:r>
    </w:p>
    <w:tbl>
      <w:tblPr>
        <w:tblW w:w="9909" w:type="dxa"/>
        <w:jc w:val="start"/>
        <w:tblInd w:w="-37" w:type="dxa"/>
        <w:tblLayout w:type="fixed"/>
        <w:tblCellMar>
          <w:top w:w="0" w:type="dxa"/>
          <w:start w:w="108" w:type="dxa"/>
          <w:bottom w:w="0" w:type="dxa"/>
          <w:end w:w="108" w:type="dxa"/>
        </w:tblCellMar>
        <w:tblLook w:firstRow="1" w:noVBand="1" w:lastRow="0" w:firstColumn="1" w:lastColumn="0" w:noHBand="0" w:val="04a0"/>
      </w:tblPr>
      <w:tblGrid>
        <w:gridCol w:w="324"/>
        <w:gridCol w:w="1853"/>
        <w:gridCol w:w="979"/>
        <w:gridCol w:w="965"/>
        <w:gridCol w:w="965"/>
        <w:gridCol w:w="965"/>
        <w:gridCol w:w="962"/>
        <w:gridCol w:w="965"/>
        <w:gridCol w:w="965"/>
        <w:gridCol w:w="965"/>
      </w:tblGrid>
      <w:tr>
        <w:trPr/>
        <w:tc>
          <w:tcPr>
            <w:tcW w:w="324" w:type="dxa"/>
            <w:vMerge w:val="restart"/>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w:t>
            </w:r>
          </w:p>
        </w:tc>
        <w:tc>
          <w:tcPr>
            <w:tcW w:w="1853" w:type="dxa"/>
            <w:vMerge w:val="restart"/>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Споживачі</w:t>
            </w:r>
          </w:p>
        </w:tc>
        <w:tc>
          <w:tcPr>
            <w:tcW w:w="7731" w:type="dxa"/>
            <w:gridSpan w:val="8"/>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Обсяг постачання води по роках, тис.м</w:t>
            </w:r>
            <w:r>
              <w:rPr>
                <w:rFonts w:cs="Times New Roman" w:ascii="Times New Roman" w:hAnsi="Times New Roman"/>
                <w:color w:val="000000"/>
                <w:sz w:val="20"/>
                <w:szCs w:val="20"/>
                <w:vertAlign w:val="superscript"/>
              </w:rPr>
              <w:t>3</w:t>
            </w:r>
          </w:p>
        </w:tc>
      </w:tr>
      <w:tr>
        <w:trPr>
          <w:trHeight w:val="291" w:hRule="atLeast"/>
        </w:trPr>
        <w:tc>
          <w:tcPr>
            <w:tcW w:w="324" w:type="dxa"/>
            <w:vMerge w:val="continue"/>
            <w:tcBorders>
              <w:start w:val="single" w:sz="2" w:space="0" w:color="000000"/>
              <w:bottom w:val="single" w:sz="2"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853" w:type="dxa"/>
            <w:vMerge w:val="continue"/>
            <w:tcBorders>
              <w:start w:val="single" w:sz="2" w:space="0" w:color="000000"/>
              <w:bottom w:val="single" w:sz="2"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97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2017</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2018</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2019</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2020</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2021</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2022</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2023</w:t>
            </w:r>
          </w:p>
        </w:tc>
        <w:tc>
          <w:tcPr>
            <w:tcW w:w="965"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2024</w:t>
            </w:r>
          </w:p>
        </w:tc>
      </w:tr>
      <w:tr>
        <w:trPr>
          <w:trHeight w:val="352" w:hRule="atLeast"/>
        </w:trPr>
        <w:tc>
          <w:tcPr>
            <w:tcW w:w="32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w:t>
            </w:r>
          </w:p>
        </w:tc>
        <w:tc>
          <w:tcPr>
            <w:tcW w:w="185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Населення</w:t>
            </w:r>
          </w:p>
        </w:tc>
        <w:tc>
          <w:tcPr>
            <w:tcW w:w="97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7340</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7254,7</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6938</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7575,7</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7457,4</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6910,2</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7188,3</w:t>
            </w:r>
          </w:p>
        </w:tc>
        <w:tc>
          <w:tcPr>
            <w:tcW w:w="965"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7226,7</w:t>
            </w:r>
          </w:p>
        </w:tc>
      </w:tr>
      <w:tr>
        <w:trPr>
          <w:trHeight w:val="352" w:hRule="atLeast"/>
        </w:trPr>
        <w:tc>
          <w:tcPr>
            <w:tcW w:w="32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w:t>
            </w:r>
          </w:p>
        </w:tc>
        <w:tc>
          <w:tcPr>
            <w:tcW w:w="185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Заклади бюджетної сфери</w:t>
            </w:r>
          </w:p>
        </w:tc>
        <w:tc>
          <w:tcPr>
            <w:tcW w:w="97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617,1</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656,8</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626</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530,3</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558,4</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510,6</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567,2</w:t>
            </w:r>
          </w:p>
        </w:tc>
        <w:tc>
          <w:tcPr>
            <w:tcW w:w="965"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570,4</w:t>
            </w:r>
          </w:p>
        </w:tc>
      </w:tr>
      <w:tr>
        <w:trPr>
          <w:trHeight w:val="352" w:hRule="atLeast"/>
        </w:trPr>
        <w:tc>
          <w:tcPr>
            <w:tcW w:w="32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3</w:t>
            </w:r>
          </w:p>
        </w:tc>
        <w:tc>
          <w:tcPr>
            <w:tcW w:w="185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Промислові та інші підприємства</w:t>
            </w:r>
          </w:p>
        </w:tc>
        <w:tc>
          <w:tcPr>
            <w:tcW w:w="97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3521,6</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3537</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3503</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3329,6</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30710,5</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2572,1</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2546,9</w:t>
            </w:r>
          </w:p>
        </w:tc>
        <w:tc>
          <w:tcPr>
            <w:tcW w:w="965"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2613,8</w:t>
            </w:r>
          </w:p>
        </w:tc>
      </w:tr>
      <w:tr>
        <w:trPr>
          <w:trHeight w:val="352" w:hRule="atLeast"/>
        </w:trPr>
        <w:tc>
          <w:tcPr>
            <w:tcW w:w="32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4</w:t>
            </w:r>
          </w:p>
        </w:tc>
        <w:tc>
          <w:tcPr>
            <w:tcW w:w="185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Всього</w:t>
            </w:r>
          </w:p>
        </w:tc>
        <w:tc>
          <w:tcPr>
            <w:tcW w:w="979"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11478,7</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11448,5</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11067</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11435,6</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11086,2</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9993</w:t>
            </w:r>
          </w:p>
        </w:tc>
        <w:tc>
          <w:tcPr>
            <w:tcW w:w="965"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10302,4</w:t>
            </w:r>
          </w:p>
        </w:tc>
        <w:tc>
          <w:tcPr>
            <w:tcW w:w="965"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10410,9</w:t>
            </w:r>
          </w:p>
        </w:tc>
      </w:tr>
    </w:tbl>
    <w:p>
      <w:pPr>
        <w:pStyle w:val="Normal"/>
        <w:spacing w:before="0" w:after="0"/>
        <w:jc w:val="center"/>
        <w:rPr>
          <w:color w:val="000000"/>
        </w:rPr>
      </w:pPr>
      <w:r>
        <w:rPr>
          <w:color w:val="000000"/>
        </w:rPr>
      </w:r>
    </w:p>
    <w:p>
      <w:pPr>
        <w:pStyle w:val="Normal"/>
        <w:spacing w:before="0" w:after="0"/>
        <w:jc w:val="center"/>
        <w:rPr/>
      </w:pPr>
      <w:r>
        <w:rPr>
          <w:rFonts w:eastAsia="NSimSun" w:cs="Times New Roman" w:ascii="Times New Roman" w:hAnsi="Times New Roman"/>
          <w:color w:val="000000"/>
          <w:kern w:val="2"/>
          <w:sz w:val="24"/>
          <w:szCs w:val="24"/>
          <w:lang w:eastAsia="zh-CN" w:bidi="hi-IN"/>
        </w:rPr>
        <w:t>Таблиця </w:t>
      </w:r>
      <w:r>
        <w:rPr>
          <w:rFonts w:eastAsia="Times New Roman" w:cs="Times New Roman" w:ascii="Times New Roman" w:hAnsi="Times New Roman"/>
          <w:color w:val="000000"/>
          <w:kern w:val="2"/>
          <w:sz w:val="24"/>
          <w:szCs w:val="24"/>
          <w:lang w:eastAsia="zh-CN" w:bidi="hi-IN"/>
        </w:rPr>
        <w:t>Д2.13. </w:t>
      </w:r>
      <w:r>
        <w:rPr>
          <w:rFonts w:eastAsia="NSimSun" w:cs="Times New Roman" w:ascii="Times New Roman" w:hAnsi="Times New Roman"/>
          <w:color w:val="000000"/>
          <w:kern w:val="2"/>
          <w:sz w:val="24"/>
          <w:szCs w:val="24"/>
          <w:lang w:eastAsia="zh-CN" w:bidi="hi-IN"/>
        </w:rPr>
        <w:t>Водовідведення за категоріями споживачів міста</w:t>
      </w:r>
    </w:p>
    <w:tbl>
      <w:tblPr>
        <w:tblW w:w="9940" w:type="dxa"/>
        <w:jc w:val="start"/>
        <w:tblInd w:w="-43" w:type="dxa"/>
        <w:tblLayout w:type="fixed"/>
        <w:tblCellMar>
          <w:top w:w="0" w:type="dxa"/>
          <w:start w:w="108" w:type="dxa"/>
          <w:bottom w:w="0" w:type="dxa"/>
          <w:end w:w="108" w:type="dxa"/>
        </w:tblCellMar>
        <w:tblLook w:firstRow="1" w:noVBand="1" w:lastRow="0" w:firstColumn="1" w:lastColumn="0" w:noHBand="0" w:val="04a0"/>
      </w:tblPr>
      <w:tblGrid>
        <w:gridCol w:w="317"/>
        <w:gridCol w:w="1893"/>
        <w:gridCol w:w="937"/>
        <w:gridCol w:w="994"/>
        <w:gridCol w:w="971"/>
        <w:gridCol w:w="966"/>
        <w:gridCol w:w="966"/>
        <w:gridCol w:w="962"/>
        <w:gridCol w:w="966"/>
        <w:gridCol w:w="967"/>
      </w:tblGrid>
      <w:tr>
        <w:trPr/>
        <w:tc>
          <w:tcPr>
            <w:tcW w:w="317" w:type="dxa"/>
            <w:vMerge w:val="restart"/>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w:t>
            </w:r>
          </w:p>
        </w:tc>
        <w:tc>
          <w:tcPr>
            <w:tcW w:w="1893" w:type="dxa"/>
            <w:vMerge w:val="restart"/>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Споживачі</w:t>
            </w:r>
          </w:p>
        </w:tc>
        <w:tc>
          <w:tcPr>
            <w:tcW w:w="7729" w:type="dxa"/>
            <w:gridSpan w:val="8"/>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Обсяг водовідведення по роках, тис.м</w:t>
            </w:r>
            <w:r>
              <w:rPr>
                <w:rFonts w:cs="Times New Roman" w:ascii="Times New Roman" w:hAnsi="Times New Roman"/>
                <w:color w:val="000000"/>
                <w:sz w:val="20"/>
                <w:szCs w:val="20"/>
                <w:vertAlign w:val="superscript"/>
              </w:rPr>
              <w:t>3</w:t>
            </w:r>
          </w:p>
        </w:tc>
      </w:tr>
      <w:tr>
        <w:trPr>
          <w:trHeight w:val="348" w:hRule="atLeast"/>
        </w:trPr>
        <w:tc>
          <w:tcPr>
            <w:tcW w:w="317" w:type="dxa"/>
            <w:vMerge w:val="continue"/>
            <w:tcBorders>
              <w:start w:val="single" w:sz="2" w:space="0" w:color="000000"/>
              <w:bottom w:val="single" w:sz="2"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893" w:type="dxa"/>
            <w:vMerge w:val="continue"/>
            <w:tcBorders>
              <w:start w:val="single" w:sz="2" w:space="0" w:color="000000"/>
              <w:bottom w:val="single" w:sz="2"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93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2017</w:t>
            </w:r>
          </w:p>
        </w:tc>
        <w:tc>
          <w:tcPr>
            <w:tcW w:w="99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2018</w:t>
            </w:r>
          </w:p>
        </w:tc>
        <w:tc>
          <w:tcPr>
            <w:tcW w:w="97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2019</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2020</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2021</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2022</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2023</w:t>
            </w:r>
          </w:p>
        </w:tc>
        <w:tc>
          <w:tcPr>
            <w:tcW w:w="967"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2024</w:t>
            </w:r>
          </w:p>
        </w:tc>
      </w:tr>
      <w:tr>
        <w:trPr>
          <w:trHeight w:val="288" w:hRule="atLeast"/>
        </w:trPr>
        <w:tc>
          <w:tcPr>
            <w:tcW w:w="31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w:t>
            </w:r>
          </w:p>
        </w:tc>
        <w:tc>
          <w:tcPr>
            <w:tcW w:w="189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Населення</w:t>
            </w:r>
          </w:p>
        </w:tc>
        <w:tc>
          <w:tcPr>
            <w:tcW w:w="93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7639,5</w:t>
            </w:r>
          </w:p>
        </w:tc>
        <w:tc>
          <w:tcPr>
            <w:tcW w:w="99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7082,9</w:t>
            </w:r>
          </w:p>
        </w:tc>
        <w:tc>
          <w:tcPr>
            <w:tcW w:w="97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7039</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7427,6</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7149,6</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6444,9</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6744,3</w:t>
            </w:r>
          </w:p>
        </w:tc>
        <w:tc>
          <w:tcPr>
            <w:tcW w:w="967"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6829,3</w:t>
            </w:r>
          </w:p>
        </w:tc>
      </w:tr>
      <w:tr>
        <w:trPr>
          <w:trHeight w:val="288" w:hRule="atLeast"/>
        </w:trPr>
        <w:tc>
          <w:tcPr>
            <w:tcW w:w="31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w:t>
            </w:r>
          </w:p>
        </w:tc>
        <w:tc>
          <w:tcPr>
            <w:tcW w:w="189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Заклади бюджетної сфери</w:t>
            </w:r>
          </w:p>
        </w:tc>
        <w:tc>
          <w:tcPr>
            <w:tcW w:w="93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1174,8</w:t>
            </w:r>
          </w:p>
        </w:tc>
        <w:tc>
          <w:tcPr>
            <w:tcW w:w="99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1125,2</w:t>
            </w:r>
          </w:p>
        </w:tc>
        <w:tc>
          <w:tcPr>
            <w:tcW w:w="97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1165</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1070,6</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1171,5</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957,2</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1092,1</w:t>
            </w:r>
          </w:p>
        </w:tc>
        <w:tc>
          <w:tcPr>
            <w:tcW w:w="967"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957,7</w:t>
            </w:r>
          </w:p>
        </w:tc>
      </w:tr>
      <w:tr>
        <w:trPr>
          <w:trHeight w:val="288" w:hRule="atLeast"/>
        </w:trPr>
        <w:tc>
          <w:tcPr>
            <w:tcW w:w="31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3</w:t>
            </w:r>
          </w:p>
        </w:tc>
        <w:tc>
          <w:tcPr>
            <w:tcW w:w="189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Промислові та інші підприємства</w:t>
            </w:r>
          </w:p>
        </w:tc>
        <w:tc>
          <w:tcPr>
            <w:tcW w:w="93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2090,1</w:t>
            </w:r>
          </w:p>
        </w:tc>
        <w:tc>
          <w:tcPr>
            <w:tcW w:w="99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2084,9</w:t>
            </w:r>
          </w:p>
        </w:tc>
        <w:tc>
          <w:tcPr>
            <w:tcW w:w="97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2073</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1869,2</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1983,8</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1837,8</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1916,4</w:t>
            </w:r>
          </w:p>
        </w:tc>
        <w:tc>
          <w:tcPr>
            <w:tcW w:w="967"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1917,9</w:t>
            </w:r>
          </w:p>
        </w:tc>
      </w:tr>
      <w:tr>
        <w:trPr>
          <w:trHeight w:val="288" w:hRule="atLeast"/>
        </w:trPr>
        <w:tc>
          <w:tcPr>
            <w:tcW w:w="31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4</w:t>
            </w:r>
          </w:p>
        </w:tc>
        <w:tc>
          <w:tcPr>
            <w:tcW w:w="1893" w:type="dxa"/>
            <w:tcBorders>
              <w:start w:val="single" w:sz="2" w:space="0" w:color="000000"/>
              <w:bottom w:val="single" w:sz="2"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Всього</w:t>
            </w:r>
          </w:p>
        </w:tc>
        <w:tc>
          <w:tcPr>
            <w:tcW w:w="937"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10904,5</w:t>
            </w:r>
          </w:p>
        </w:tc>
        <w:tc>
          <w:tcPr>
            <w:tcW w:w="994"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10293,1</w:t>
            </w:r>
          </w:p>
        </w:tc>
        <w:tc>
          <w:tcPr>
            <w:tcW w:w="971"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10277,1</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10367,4</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10304,8</w:t>
            </w:r>
          </w:p>
        </w:tc>
        <w:tc>
          <w:tcPr>
            <w:tcW w:w="962"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9239,9</w:t>
            </w:r>
          </w:p>
        </w:tc>
        <w:tc>
          <w:tcPr>
            <w:tcW w:w="966" w:type="dxa"/>
            <w:tcBorders>
              <w:start w:val="single" w:sz="2" w:space="0" w:color="000000"/>
              <w:bottom w:val="single" w:sz="2"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9752,9</w:t>
            </w:r>
          </w:p>
        </w:tc>
        <w:tc>
          <w:tcPr>
            <w:tcW w:w="967" w:type="dxa"/>
            <w:tcBorders>
              <w:start w:val="single" w:sz="2" w:space="0" w:color="000000"/>
              <w:bottom w:val="single" w:sz="2" w:space="0" w:color="000000"/>
              <w:end w:val="single" w:sz="2"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9704,8</w:t>
            </w:r>
          </w:p>
        </w:tc>
      </w:tr>
    </w:tbl>
    <w:p>
      <w:pPr>
        <w:pStyle w:val="Normal"/>
        <w:spacing w:before="0" w:after="0"/>
        <w:ind w:firstLine="567"/>
        <w:jc w:val="both"/>
        <w:rPr/>
      </w:pPr>
      <w:r>
        <w:rPr>
          <w:rFonts w:cs="Times New Roman" w:ascii="Times New Roman" w:hAnsi="Times New Roman"/>
          <w:sz w:val="24"/>
          <w:szCs w:val="24"/>
          <w:lang w:eastAsia="zh-CN" w:bidi="hi-IN"/>
        </w:rPr>
        <w:t xml:space="preserve">Структура водопостачання та водовідведення за категоріями споживачів станом на 2024 рік наведено на рисунку </w:t>
      </w:r>
      <w:r>
        <w:rPr>
          <w:rFonts w:eastAsia="Times New Roman" w:cs="Times New Roman" w:ascii="Times New Roman" w:hAnsi="Times New Roman"/>
          <w:kern w:val="2"/>
          <w:sz w:val="24"/>
          <w:szCs w:val="24"/>
          <w:lang w:eastAsia="zh-CN" w:bidi="hi-IN"/>
        </w:rPr>
        <w:t xml:space="preserve">Д2.9. </w:t>
      </w:r>
      <w:r>
        <w:rPr>
          <w:rFonts w:cs="Times New Roman" w:ascii="Times New Roman" w:hAnsi="Times New Roman"/>
          <w:sz w:val="24"/>
          <w:szCs w:val="24"/>
          <w:lang w:eastAsia="zh-CN" w:bidi="hi-IN"/>
        </w:rPr>
        <w:t> </w:t>
      </w:r>
    </w:p>
    <w:p>
      <w:pPr>
        <w:pStyle w:val="Normal"/>
        <w:tabs>
          <w:tab w:val="clear" w:pos="708"/>
          <w:tab w:val="left" w:pos="570" w:leader="none"/>
        </w:tabs>
        <w:spacing w:before="0" w:after="0"/>
        <w:jc w:val="both"/>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25">
            <wp:simplePos x="0" y="0"/>
            <wp:positionH relativeFrom="column">
              <wp:align>center</wp:align>
            </wp:positionH>
            <wp:positionV relativeFrom="paragraph">
              <wp:posOffset>635</wp:posOffset>
            </wp:positionV>
            <wp:extent cx="3884930" cy="1983740"/>
            <wp:effectExtent l="0" t="0" r="0" b="0"/>
            <wp:wrapSquare wrapText="largest"/>
            <wp:docPr id="36" name="Об'єкт39"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anchor>
        </w:drawing>
      </w:r>
    </w:p>
    <w:p>
      <w:pPr>
        <w:pStyle w:val="Normal"/>
        <w:tabs>
          <w:tab w:val="clear" w:pos="708"/>
          <w:tab w:val="left" w:pos="570" w:leader="none"/>
        </w:tabs>
        <w:spacing w:before="0" w:after="0"/>
        <w:jc w:val="both"/>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24">
            <wp:simplePos x="0" y="0"/>
            <wp:positionH relativeFrom="column">
              <wp:align>center</wp:align>
            </wp:positionH>
            <wp:positionV relativeFrom="paragraph">
              <wp:posOffset>635</wp:posOffset>
            </wp:positionV>
            <wp:extent cx="4304665" cy="2104390"/>
            <wp:effectExtent l="0" t="0" r="0" b="0"/>
            <wp:wrapSquare wrapText="largest"/>
            <wp:docPr id="37" name="Об'єкт40"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anchor>
        </w:drawing>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lang w:eastAsia="zh-CN" w:bidi="hi-IN"/>
        </w:rPr>
        <w:t> </w:t>
      </w:r>
      <w:r>
        <w:rPr>
          <w:rFonts w:cs="Times New Roman" w:ascii="Times New Roman" w:hAnsi="Times New Roman"/>
          <w:lang w:eastAsia="zh-CN" w:bidi="hi-IN"/>
        </w:rPr>
        <w:t>Р</w:t>
      </w:r>
      <w:r>
        <w:rPr>
          <w:rFonts w:cs="Times New Roman" w:ascii="Times New Roman" w:hAnsi="Times New Roman"/>
          <w:sz w:val="24"/>
          <w:szCs w:val="24"/>
          <w:lang w:eastAsia="zh-CN" w:bidi="hi-IN"/>
        </w:rPr>
        <w:t xml:space="preserve">исунок </w:t>
      </w:r>
      <w:r>
        <w:rPr>
          <w:rFonts w:eastAsia="Times New Roman" w:cs="Times New Roman" w:ascii="Times New Roman" w:hAnsi="Times New Roman"/>
          <w:kern w:val="2"/>
          <w:sz w:val="24"/>
          <w:szCs w:val="24"/>
          <w:lang w:eastAsia="zh-CN" w:bidi="hi-IN"/>
        </w:rPr>
        <w:t>Д2.9. </w:t>
      </w:r>
      <w:r>
        <w:rPr>
          <w:rFonts w:cs="Times New Roman" w:ascii="Times New Roman" w:hAnsi="Times New Roman"/>
          <w:sz w:val="24"/>
          <w:szCs w:val="24"/>
          <w:lang w:eastAsia="zh-CN" w:bidi="hi-IN"/>
        </w:rPr>
        <w:t>Структура водопостачання та водовідведення за показниками 2024 року</w:t>
      </w:r>
    </w:p>
    <w:p>
      <w:pPr>
        <w:pStyle w:val="Normal"/>
        <w:spacing w:before="0" w:after="0"/>
        <w:jc w:val="both"/>
        <w:rPr/>
      </w:pPr>
      <w:r>
        <w:rPr>
          <w:rFonts w:eastAsia="NSimSun" w:cs="Times New Roman" w:ascii="Times New Roman" w:hAnsi="Times New Roman"/>
          <w:kern w:val="2"/>
          <w:sz w:val="24"/>
          <w:szCs w:val="24"/>
          <w:lang w:eastAsia="zh-CN" w:bidi="hi-IN"/>
        </w:rPr>
        <w:t xml:space="preserve">На рисунку </w:t>
      </w:r>
      <w:r>
        <w:rPr>
          <w:rFonts w:eastAsia="Times New Roman" w:cs="Times New Roman" w:ascii="Times New Roman" w:hAnsi="Times New Roman"/>
          <w:kern w:val="2"/>
          <w:sz w:val="24"/>
          <w:szCs w:val="24"/>
          <w:lang w:eastAsia="zh-CN" w:bidi="hi-IN"/>
        </w:rPr>
        <w:t xml:space="preserve">Д2.10. </w:t>
      </w:r>
      <w:r>
        <w:rPr>
          <w:rFonts w:eastAsia="NSimSun" w:cs="Times New Roman" w:ascii="Times New Roman" w:hAnsi="Times New Roman"/>
          <w:kern w:val="2"/>
          <w:sz w:val="24"/>
          <w:szCs w:val="24"/>
          <w:lang w:eastAsia="zh-CN" w:bidi="hi-IN"/>
        </w:rPr>
        <w:t>наведена динаміка водопостачання та водовідведення по роках.</w:t>
      </w:r>
    </w:p>
    <w:p>
      <w:pPr>
        <w:pStyle w:val="Normal"/>
        <w:spacing w:before="0" w:after="0"/>
        <w:jc w:val="both"/>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23">
            <wp:simplePos x="0" y="0"/>
            <wp:positionH relativeFrom="column">
              <wp:align>center</wp:align>
            </wp:positionH>
            <wp:positionV relativeFrom="paragraph">
              <wp:posOffset>635</wp:posOffset>
            </wp:positionV>
            <wp:extent cx="4217670" cy="2372360"/>
            <wp:effectExtent l="0" t="0" r="0" b="0"/>
            <wp:wrapSquare wrapText="largest"/>
            <wp:docPr id="38" name="Об'єкт19"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anchor>
        </w:drawing>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eastAsia="NSimSun" w:cs="Times New Roman" w:ascii="Times New Roman" w:hAnsi="Times New Roman"/>
          <w:kern w:val="2"/>
          <w:sz w:val="24"/>
          <w:szCs w:val="24"/>
          <w:lang w:eastAsia="zh-CN" w:bidi="hi-IN"/>
        </w:rPr>
        <w:t>Рисунок Д2.10. Динаміка обсягів водопостачання та водовідведення, тис.м</w:t>
      </w:r>
      <w:r>
        <w:rPr>
          <w:rFonts w:eastAsia="NSimSun" w:cs="Times New Roman" w:ascii="Times New Roman" w:hAnsi="Times New Roman"/>
          <w:kern w:val="2"/>
          <w:sz w:val="24"/>
          <w:szCs w:val="24"/>
          <w:vertAlign w:val="superscript"/>
          <w:lang w:eastAsia="zh-CN" w:bidi="hi-IN"/>
        </w:rPr>
        <w:t>3</w:t>
      </w:r>
      <w:r>
        <w:rPr>
          <w:rFonts w:eastAsia="NSimSun" w:cs="Times New Roman" w:ascii="Times New Roman" w:hAnsi="Times New Roman"/>
          <w:kern w:val="2"/>
          <w:sz w:val="24"/>
          <w:szCs w:val="24"/>
          <w:lang w:eastAsia="zh-CN" w:bidi="hi-IN"/>
        </w:rPr>
        <w:t xml:space="preserve">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Загальна кількість абонентів з водопостачання та водовідведення приведена у таблиці </w:t>
      </w:r>
      <w:r>
        <w:rPr>
          <w:rFonts w:eastAsia="NSimSun" w:cs="Times New Roman" w:ascii="Times New Roman" w:hAnsi="Times New Roman"/>
          <w:color w:val="000000"/>
          <w:kern w:val="2"/>
          <w:sz w:val="24"/>
          <w:szCs w:val="24"/>
          <w:lang w:eastAsia="zh-CN" w:bidi="hi-IN"/>
        </w:rPr>
        <w:t>Д2.14.</w:t>
      </w:r>
      <w:r>
        <w:rPr>
          <w:rFonts w:eastAsia="NSimSun" w:cs="Times New Roman" w:ascii="Times New Roman" w:hAnsi="Times New Roman"/>
          <w:kern w:val="2"/>
          <w:sz w:val="24"/>
          <w:szCs w:val="24"/>
          <w:lang w:eastAsia="zh-CN" w:bidi="hi-IN"/>
        </w:rPr>
        <w:t xml:space="preserve"> та на рисунку </w:t>
      </w:r>
      <w:r>
        <w:rPr>
          <w:rFonts w:eastAsia="NSimSun" w:cs="Times New Roman" w:ascii="Times New Roman" w:hAnsi="Times New Roman"/>
          <w:color w:val="000000"/>
          <w:kern w:val="2"/>
          <w:sz w:val="24"/>
          <w:szCs w:val="24"/>
          <w:lang w:eastAsia="zh-CN" w:bidi="hi-IN"/>
        </w:rPr>
        <w:t>Д2.11</w:t>
      </w:r>
      <w:r>
        <w:rPr>
          <w:rFonts w:eastAsia="NSimSun" w:cs="Times New Roman" w:ascii="Times New Roman" w:hAnsi="Times New Roman"/>
          <w:kern w:val="2"/>
          <w:sz w:val="24"/>
          <w:szCs w:val="24"/>
          <w:lang w:eastAsia="zh-CN" w:bidi="hi-IN"/>
        </w:rPr>
        <w:t xml:space="preserve">. </w:t>
      </w:r>
    </w:p>
    <w:p>
      <w:pPr>
        <w:pStyle w:val="Normal"/>
        <w:spacing w:before="0" w:after="0"/>
        <w:ind w:firstLine="567"/>
        <w:jc w:val="both"/>
        <w:rPr>
          <w:color w:val="000000"/>
        </w:rPr>
      </w:pPr>
      <w:r>
        <w:rPr>
          <w:rFonts w:eastAsia="NSimSun" w:cs="Times New Roman" w:ascii="Times New Roman" w:hAnsi="Times New Roman"/>
          <w:color w:val="000000"/>
          <w:kern w:val="2"/>
          <w:sz w:val="24"/>
          <w:szCs w:val="24"/>
          <w:lang w:eastAsia="zh-CN" w:bidi="hi-IN"/>
        </w:rPr>
        <w:t xml:space="preserve">Відсоток абонентів, що мають встановлені прилади обліку поступово зростає і на 2025 рік складає 91,99 % від усіх абонентів. </w:t>
      </w:r>
    </w:p>
    <w:p>
      <w:pPr>
        <w:pStyle w:val="Normal"/>
        <w:spacing w:before="0" w:after="0"/>
        <w:ind w:firstLine="567"/>
        <w:jc w:val="both"/>
        <w:rPr/>
      </w:pPr>
      <w:r>
        <w:rPr>
          <w:rFonts w:eastAsia="NSimSun" w:cs="Times New Roman" w:ascii="Times New Roman" w:hAnsi="Times New Roman"/>
          <w:kern w:val="2"/>
          <w:sz w:val="24"/>
          <w:szCs w:val="24"/>
          <w:lang w:eastAsia="zh-CN" w:bidi="hi-IN"/>
        </w:rPr>
        <w:t>Враховуючи постійний ріст тарифів на водопостачання та водовідведення відсоток встановлених лічильників буде зростати та наближатися до відмітки 100 %.</w:t>
      </w:r>
    </w:p>
    <w:p>
      <w:pPr>
        <w:pStyle w:val="Normal"/>
        <w:spacing w:before="0" w:after="0"/>
        <w:jc w:val="center"/>
        <w:rPr>
          <w:rFonts w:ascii="Times New Roman" w:hAnsi="Times New Roman" w:eastAsia="NSimSun" w:cs="Times New Roman"/>
          <w:color w:val="000000"/>
          <w:kern w:val="2"/>
          <w:sz w:val="24"/>
          <w:szCs w:val="24"/>
          <w:lang w:eastAsia="zh-CN" w:bidi="hi-IN"/>
        </w:rPr>
      </w:pPr>
      <w:r>
        <w:rPr/>
      </w:r>
    </w:p>
    <w:p>
      <w:pPr>
        <w:pStyle w:val="Normal"/>
        <w:spacing w:before="0" w:after="0"/>
        <w:jc w:val="center"/>
        <w:rPr>
          <w:rFonts w:ascii="Times New Roman" w:hAnsi="Times New Roman" w:eastAsia="NSimSun" w:cs="Times New Roman"/>
          <w:color w:val="000000"/>
          <w:kern w:val="2"/>
          <w:sz w:val="24"/>
          <w:szCs w:val="24"/>
          <w:lang w:eastAsia="zh-CN" w:bidi="hi-IN"/>
        </w:rPr>
      </w:pPr>
      <w:r>
        <w:rPr/>
      </w:r>
    </w:p>
    <w:p>
      <w:pPr>
        <w:pStyle w:val="Normal"/>
        <w:spacing w:before="0" w:after="0"/>
        <w:jc w:val="center"/>
        <w:rPr/>
      </w:pPr>
      <w:r>
        <w:rPr>
          <w:rFonts w:eastAsia="NSimSun" w:cs="Times New Roman" w:ascii="Times New Roman" w:hAnsi="Times New Roman"/>
          <w:color w:val="000000"/>
          <w:kern w:val="2"/>
          <w:sz w:val="24"/>
          <w:szCs w:val="24"/>
          <w:lang w:eastAsia="zh-CN" w:bidi="hi-IN"/>
        </w:rPr>
        <w:t xml:space="preserve">Таблиця Д2.14. Загальна кількість абонентів з водопостачання та водовідведення </w:t>
      </w:r>
    </w:p>
    <w:tbl>
      <w:tblPr>
        <w:tblW w:w="9630" w:type="dxa"/>
        <w:jc w:val="start"/>
        <w:tblInd w:w="109" w:type="dxa"/>
        <w:tblLayout w:type="fixed"/>
        <w:tblCellMar>
          <w:top w:w="0" w:type="dxa"/>
          <w:start w:w="108" w:type="dxa"/>
          <w:bottom w:w="0" w:type="dxa"/>
          <w:end w:w="108" w:type="dxa"/>
        </w:tblCellMar>
        <w:tblLook w:firstRow="1" w:noVBand="1" w:lastRow="0" w:firstColumn="1" w:lastColumn="0" w:noHBand="0" w:val="04a0"/>
      </w:tblPr>
      <w:tblGrid>
        <w:gridCol w:w="286"/>
        <w:gridCol w:w="2873"/>
        <w:gridCol w:w="1087"/>
        <w:gridCol w:w="887"/>
        <w:gridCol w:w="1063"/>
        <w:gridCol w:w="1089"/>
        <w:gridCol w:w="1058"/>
        <w:gridCol w:w="1285"/>
      </w:tblGrid>
      <w:tr>
        <w:trPr/>
        <w:tc>
          <w:tcPr>
            <w:tcW w:w="2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w:t>
            </w:r>
          </w:p>
        </w:tc>
        <w:tc>
          <w:tcPr>
            <w:tcW w:w="28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Найменування</w:t>
            </w:r>
          </w:p>
        </w:tc>
        <w:tc>
          <w:tcPr>
            <w:tcW w:w="108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Послуга</w:t>
            </w:r>
          </w:p>
        </w:tc>
        <w:tc>
          <w:tcPr>
            <w:tcW w:w="5382" w:type="dxa"/>
            <w:gridSpan w:val="5"/>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Роки</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08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2017</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2020</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2022</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2023</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2024</w:t>
            </w:r>
          </w:p>
        </w:tc>
      </w:tr>
      <w:tr>
        <w:trPr/>
        <w:tc>
          <w:tcPr>
            <w:tcW w:w="2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w:t>
            </w:r>
          </w:p>
        </w:tc>
        <w:tc>
          <w:tcPr>
            <w:tcW w:w="28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Кількість абонентів, од.</w:t>
            </w:r>
          </w:p>
          <w:p>
            <w:pPr>
              <w:pStyle w:val="Normal"/>
              <w:widowControl w:val="false"/>
              <w:spacing w:lineRule="auto" w:line="240" w:before="0" w:after="0"/>
              <w:contextualSpacing/>
              <w:rPr/>
            </w:pPr>
            <w:r>
              <w:rPr>
                <w:rFonts w:cs="Times New Roman" w:ascii="Times New Roman" w:hAnsi="Times New Roman"/>
                <w:color w:val="000000"/>
                <w:sz w:val="20"/>
                <w:szCs w:val="20"/>
              </w:rPr>
              <w:t>в т. ч.</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водоп</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98885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90152</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eastAsia="Times New Roman" w:cs="Times New Roman" w:ascii="Times New Roman" w:hAnsi="Times New Roman"/>
                <w:color w:val="000000"/>
                <w:sz w:val="20"/>
                <w:szCs w:val="20"/>
                <w:lang w:eastAsia="uk-UA"/>
              </w:rPr>
              <w:t>97835</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96301</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97843</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водовід</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88933</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78081</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85201</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83416</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84705</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домогосподарства</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водоп</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96685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87752</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95183</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93558</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95012</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водовід</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86858</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75797</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82725</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80924</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82080</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юридичні особи</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водоп</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2200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2400</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2652</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2743</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2831</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водовід</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2075</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2284</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2476</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2492</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2625</w:t>
            </w:r>
          </w:p>
        </w:tc>
      </w:tr>
      <w:tr>
        <w:trPr/>
        <w:tc>
          <w:tcPr>
            <w:tcW w:w="2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w:t>
            </w:r>
          </w:p>
        </w:tc>
        <w:tc>
          <w:tcPr>
            <w:tcW w:w="28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Чисельність населення, що обслуговується підприємством, чол.</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водоп</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184981</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205003</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210086</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211937</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213313</w:t>
            </w:r>
          </w:p>
        </w:tc>
      </w:tr>
      <w:tr>
        <w:trPr/>
        <w:tc>
          <w:tcPr>
            <w:tcW w:w="2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87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водовід</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158897</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176353</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176574</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178218</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214786</w:t>
            </w:r>
          </w:p>
        </w:tc>
      </w:tr>
      <w:tr>
        <w:trPr/>
        <w:tc>
          <w:tcPr>
            <w:tcW w:w="28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3</w:t>
            </w:r>
          </w:p>
        </w:tc>
        <w:tc>
          <w:tcPr>
            <w:tcW w:w="28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rPr/>
            </w:pPr>
            <w:r>
              <w:rPr>
                <w:rFonts w:cs="Times New Roman" w:ascii="Times New Roman" w:hAnsi="Times New Roman"/>
                <w:color w:val="000000"/>
                <w:sz w:val="20"/>
                <w:szCs w:val="20"/>
              </w:rPr>
              <w:t>Відсоток абонентів від загальної кількості підключених абонентів, що мають прилади обліку споживання води</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rPr>
              <w:t xml:space="preserve"> </w:t>
            </w:r>
            <w:r>
              <w:rPr>
                <w:rFonts w:cs="Times New Roman" w:ascii="Times New Roman" w:hAnsi="Times New Roman"/>
                <w:color w:val="000000"/>
                <w:sz w:val="20"/>
                <w:szCs w:val="20"/>
              </w:rPr>
              <w:t>%</w:t>
            </w:r>
          </w:p>
        </w:tc>
        <w:tc>
          <w:tcPr>
            <w:tcW w:w="8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84,80</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shd w:fill="FFFFF0" w:val="clear"/>
              </w:rPr>
              <w:t>86,53</w:t>
            </w:r>
          </w:p>
        </w:tc>
        <w:tc>
          <w:tcPr>
            <w:tcW w:w="108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cs="Times New Roman" w:ascii="Times New Roman" w:hAnsi="Times New Roman"/>
                <w:color w:val="000000"/>
                <w:sz w:val="20"/>
                <w:szCs w:val="20"/>
                <w:shd w:fill="FFFFF0" w:val="clear"/>
              </w:rPr>
              <w:t>88,23</w:t>
            </w:r>
          </w:p>
        </w:tc>
        <w:tc>
          <w:tcPr>
            <w:tcW w:w="105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contextualSpacing/>
              <w:jc w:val="center"/>
              <w:rPr/>
            </w:pPr>
            <w:r>
              <w:rPr>
                <w:rFonts w:ascii="Times New Roman" w:hAnsi="Times New Roman"/>
                <w:color w:val="000000"/>
                <w:sz w:val="20"/>
                <w:szCs w:val="20"/>
              </w:rPr>
              <w:t>91,14</w:t>
            </w:r>
          </w:p>
        </w:tc>
        <w:tc>
          <w:tcPr>
            <w:tcW w:w="12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contextualSpacing/>
              <w:jc w:val="center"/>
              <w:rPr/>
            </w:pPr>
            <w:r>
              <w:rPr>
                <w:rFonts w:ascii="Times New Roman" w:hAnsi="Times New Roman"/>
                <w:sz w:val="20"/>
                <w:szCs w:val="20"/>
              </w:rPr>
              <w:t>91,99</w:t>
            </w:r>
          </w:p>
        </w:tc>
      </w:tr>
    </w:tbl>
    <w:p>
      <w:pPr>
        <w:pStyle w:val="Normal"/>
        <w:spacing w:before="0" w:after="0"/>
        <w:jc w:val="center"/>
        <w:rPr>
          <w:rFonts w:ascii="Times New Roman" w:hAnsi="Times New Roman"/>
          <w:color w:val="000000"/>
          <w:sz w:val="24"/>
          <w:szCs w:val="24"/>
        </w:rPr>
      </w:pPr>
      <w:r>
        <w:rPr>
          <w:rFonts w:ascii="Times New Roman" w:hAnsi="Times New Roman"/>
          <w:color w:val="000000"/>
          <w:sz w:val="24"/>
          <w:szCs w:val="24"/>
        </w:rPr>
        <w:drawing>
          <wp:anchor behindDoc="0" distT="0" distB="0" distL="0" distR="0" simplePos="0" locked="0" layoutInCell="0" allowOverlap="1" relativeHeight="22">
            <wp:simplePos x="0" y="0"/>
            <wp:positionH relativeFrom="column">
              <wp:posOffset>1117600</wp:posOffset>
            </wp:positionH>
            <wp:positionV relativeFrom="paragraph">
              <wp:posOffset>125095</wp:posOffset>
            </wp:positionV>
            <wp:extent cx="3866515" cy="2174875"/>
            <wp:effectExtent l="0" t="0" r="0" b="0"/>
            <wp:wrapSquare wrapText="largest"/>
            <wp:docPr id="39" name="Об'єкт23"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anchor>
        </w:drawing>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color w:val="000000"/>
        </w:rPr>
      </w:pPr>
      <w:r>
        <w:rPr>
          <w:color w:val="000000"/>
        </w:rPr>
      </w:r>
    </w:p>
    <w:p>
      <w:pPr>
        <w:pStyle w:val="Normal"/>
        <w:spacing w:before="0" w:after="0"/>
        <w:ind w:firstLine="567"/>
        <w:jc w:val="center"/>
        <w:rPr>
          <w:color w:val="000000"/>
        </w:rPr>
      </w:pPr>
      <w:r>
        <w:rPr>
          <w:color w:val="000000"/>
        </w:rPr>
      </w:r>
    </w:p>
    <w:p>
      <w:pPr>
        <w:pStyle w:val="Normal"/>
        <w:spacing w:before="0" w:after="0"/>
        <w:ind w:firstLine="567"/>
        <w:jc w:val="center"/>
        <w:rPr/>
      </w:pPr>
      <w:r>
        <w:rPr>
          <w:rFonts w:eastAsia="NSimSun" w:cs="Times New Roman" w:ascii="Times New Roman" w:hAnsi="Times New Roman"/>
          <w:color w:val="000000"/>
          <w:kern w:val="2"/>
          <w:sz w:val="24"/>
          <w:szCs w:val="24"/>
          <w:lang w:eastAsia="zh-CN" w:bidi="hi-IN"/>
        </w:rPr>
        <w:t xml:space="preserve">Рисунок Д2.11. Кількість абонентів водопостачання та водовідведення </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Враховуючи темпи забудови громади, прогнозується зростання абонентів КП «Луцькводоканал», що вимагає збільшення потужностей підприємства.</w:t>
      </w:r>
    </w:p>
    <w:p>
      <w:pPr>
        <w:pStyle w:val="Normal"/>
        <w:spacing w:before="0" w:after="100"/>
        <w:ind w:firstLine="567"/>
        <w:jc w:val="both"/>
        <w:rPr/>
      </w:pPr>
      <w:r>
        <w:rPr>
          <w:rFonts w:eastAsia="Times New Roman" w:cs="Times New Roman" w:ascii="Times New Roman" w:hAnsi="Times New Roman"/>
          <w:color w:val="000000"/>
          <w:kern w:val="2"/>
          <w:sz w:val="24"/>
          <w:szCs w:val="24"/>
          <w:shd w:fill="FFFFFF" w:val="clear"/>
          <w:lang w:eastAsia="de-DE" w:bidi="hi-IN"/>
        </w:rPr>
        <w:t xml:space="preserve">У таблицях: 1) </w:t>
      </w:r>
      <w:r>
        <w:rPr>
          <w:rFonts w:eastAsia="NSimSun" w:cs="Times New Roman" w:ascii="Times New Roman" w:hAnsi="Times New Roman"/>
          <w:color w:val="000000"/>
          <w:kern w:val="2"/>
          <w:sz w:val="24"/>
          <w:szCs w:val="24"/>
          <w:shd w:fill="FFFFFF" w:val="clear"/>
          <w:lang w:eastAsia="zh-CN" w:bidi="hi-IN"/>
        </w:rPr>
        <w:t xml:space="preserve">Д2.15. </w:t>
      </w:r>
      <w:r>
        <w:rPr>
          <w:rFonts w:eastAsia="Times New Roman" w:cs="Times New Roman" w:ascii="Times New Roman" w:hAnsi="Times New Roman"/>
          <w:color w:val="000000"/>
          <w:kern w:val="2"/>
          <w:sz w:val="24"/>
          <w:szCs w:val="24"/>
          <w:shd w:fill="FFFFFF" w:val="clear"/>
          <w:lang w:eastAsia="de-DE" w:bidi="hi-IN"/>
        </w:rPr>
        <w:t xml:space="preserve">наведено дані щодо обсягів </w:t>
      </w:r>
      <w:r>
        <w:rPr>
          <w:rFonts w:eastAsia="NSimSun" w:cs="Times New Roman" w:ascii="Times New Roman" w:hAnsi="Times New Roman"/>
          <w:kern w:val="2"/>
          <w:sz w:val="24"/>
          <w:szCs w:val="24"/>
          <w:shd w:fill="FFFFFF" w:val="clear"/>
          <w:lang w:eastAsia="zh-CN" w:bidi="hi-IN"/>
        </w:rPr>
        <w:t xml:space="preserve">спожитої електроенергії КП «Луцькводоканал» (тис.МВт.год); 2) </w:t>
      </w:r>
      <w:r>
        <w:rPr>
          <w:rFonts w:eastAsia="NSimSun" w:cs="Times New Roman" w:ascii="Times New Roman" w:hAnsi="Times New Roman"/>
          <w:color w:val="000000"/>
          <w:kern w:val="2"/>
          <w:sz w:val="24"/>
          <w:szCs w:val="24"/>
          <w:shd w:fill="FFFFFF" w:val="clear"/>
          <w:lang w:eastAsia="zh-CN" w:bidi="hi-IN"/>
        </w:rPr>
        <w:t>Д2.15.1. наведено використання відновлюваних джерел енергії</w:t>
      </w:r>
      <w:r>
        <w:rPr>
          <w:rFonts w:eastAsia="NSimSun" w:cs="Times New Roman" w:ascii="Times New Roman" w:hAnsi="Times New Roman"/>
          <w:color w:val="333333"/>
          <w:kern w:val="2"/>
          <w:sz w:val="24"/>
          <w:szCs w:val="24"/>
          <w:shd w:fill="FFFFFF" w:val="clear"/>
          <w:lang w:eastAsia="zh-CN" w:bidi="hi-IN"/>
        </w:rPr>
        <w:t xml:space="preserve"> на підприємствах водопостачання та водовідведення.</w:t>
      </w:r>
    </w:p>
    <w:p>
      <w:pPr>
        <w:pStyle w:val="Normal"/>
        <w:spacing w:lineRule="auto" w:line="240" w:before="0" w:after="0"/>
        <w:jc w:val="center"/>
        <w:rPr/>
      </w:pPr>
      <w:r>
        <w:rPr>
          <w:rFonts w:eastAsia="NSimSun" w:cs="Times New Roman" w:ascii="Times New Roman" w:hAnsi="Times New Roman"/>
          <w:kern w:val="2"/>
          <w:sz w:val="24"/>
          <w:szCs w:val="24"/>
          <w:shd w:fill="FFFFFF" w:val="clear"/>
          <w:lang w:eastAsia="zh-CN" w:bidi="hi-IN"/>
        </w:rPr>
        <w:t xml:space="preserve">Таблиця </w:t>
      </w:r>
      <w:r>
        <w:rPr>
          <w:rFonts w:eastAsia="NSimSun" w:cs="Times New Roman" w:ascii="Times New Roman" w:hAnsi="Times New Roman"/>
          <w:color w:val="000000"/>
          <w:kern w:val="2"/>
          <w:sz w:val="24"/>
          <w:szCs w:val="24"/>
          <w:shd w:fill="FFFFFF" w:val="clear"/>
          <w:lang w:eastAsia="zh-CN" w:bidi="hi-IN"/>
        </w:rPr>
        <w:t>Д2.15.</w:t>
      </w:r>
      <w:r>
        <w:rPr>
          <w:rFonts w:eastAsia="NSimSun" w:cs="Times New Roman" w:ascii="Times New Roman" w:hAnsi="Times New Roman"/>
          <w:kern w:val="2"/>
          <w:sz w:val="24"/>
          <w:szCs w:val="24"/>
          <w:shd w:fill="FFFFFF" w:val="clear"/>
          <w:lang w:eastAsia="zh-CN" w:bidi="hi-IN"/>
        </w:rPr>
        <w:t> О</w:t>
      </w:r>
      <w:r>
        <w:rPr>
          <w:rFonts w:eastAsia="Times New Roman" w:cs="Times New Roman" w:ascii="Times New Roman" w:hAnsi="Times New Roman"/>
          <w:color w:val="000000"/>
          <w:kern w:val="2"/>
          <w:sz w:val="24"/>
          <w:szCs w:val="24"/>
          <w:shd w:fill="FFFFFF" w:val="clear"/>
          <w:lang w:eastAsia="de-DE" w:bidi="hi-IN"/>
        </w:rPr>
        <w:t xml:space="preserve">бсяги </w:t>
      </w:r>
      <w:r>
        <w:rPr>
          <w:rFonts w:eastAsia="NSimSun" w:cs="Times New Roman" w:ascii="Times New Roman" w:hAnsi="Times New Roman"/>
          <w:kern w:val="2"/>
          <w:sz w:val="24"/>
          <w:szCs w:val="24"/>
          <w:shd w:fill="FFFFFF" w:val="clear"/>
          <w:lang w:eastAsia="zh-CN" w:bidi="hi-IN"/>
        </w:rPr>
        <w:t>спожитої електроенергії КП «Луцькводоканал», тис.МВт.год</w:t>
      </w:r>
    </w:p>
    <w:tbl>
      <w:tblPr>
        <w:tblW w:w="9684" w:type="dxa"/>
        <w:jc w:val="start"/>
        <w:tblInd w:w="151" w:type="dxa"/>
        <w:tblLayout w:type="fixed"/>
        <w:tblCellMar>
          <w:top w:w="51" w:type="dxa"/>
          <w:start w:w="115" w:type="dxa"/>
          <w:bottom w:w="0" w:type="dxa"/>
          <w:end w:w="115" w:type="dxa"/>
        </w:tblCellMar>
        <w:tblLook w:firstRow="1" w:noVBand="1" w:lastRow="0" w:firstColumn="1" w:lastColumn="0" w:noHBand="0" w:val="04a0"/>
      </w:tblPr>
      <w:tblGrid>
        <w:gridCol w:w="3180"/>
        <w:gridCol w:w="812"/>
        <w:gridCol w:w="814"/>
        <w:gridCol w:w="812"/>
        <w:gridCol w:w="814"/>
        <w:gridCol w:w="812"/>
        <w:gridCol w:w="814"/>
        <w:gridCol w:w="812"/>
        <w:gridCol w:w="813"/>
      </w:tblGrid>
      <w:tr>
        <w:trPr>
          <w:trHeight w:val="465" w:hRule="atLeast"/>
        </w:trPr>
        <w:tc>
          <w:tcPr>
            <w:tcW w:w="318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Підприємство-водопостачальник</w:t>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2017</w:t>
            </w:r>
          </w:p>
        </w:tc>
        <w:tc>
          <w:tcPr>
            <w:tcW w:w="8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2018</w:t>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2019</w:t>
            </w:r>
          </w:p>
        </w:tc>
        <w:tc>
          <w:tcPr>
            <w:tcW w:w="8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2020</w:t>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2021</w:t>
            </w:r>
          </w:p>
        </w:tc>
        <w:tc>
          <w:tcPr>
            <w:tcW w:w="814"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2022</w:t>
            </w:r>
          </w:p>
        </w:tc>
        <w:tc>
          <w:tcPr>
            <w:tcW w:w="812"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2023</w:t>
            </w:r>
          </w:p>
        </w:tc>
        <w:tc>
          <w:tcPr>
            <w:tcW w:w="8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ascii="Times New Roman" w:hAnsi="Times New Roman"/>
                <w:sz w:val="20"/>
                <w:szCs w:val="20"/>
              </w:rPr>
              <w:t>2024</w:t>
            </w:r>
          </w:p>
        </w:tc>
      </w:tr>
      <w:tr>
        <w:trPr>
          <w:trHeight w:val="235" w:hRule="atLeast"/>
        </w:trPr>
        <w:tc>
          <w:tcPr>
            <w:tcW w:w="3180"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rPr/>
            </w:pPr>
            <w:r>
              <w:rPr>
                <w:rFonts w:eastAsia="NSimSun" w:cs="Times New Roman" w:ascii="Times New Roman" w:hAnsi="Times New Roman"/>
                <w:kern w:val="2"/>
                <w:sz w:val="20"/>
                <w:szCs w:val="20"/>
                <w:shd w:fill="FFFFFF" w:val="clear"/>
                <w:lang w:eastAsia="zh-CN" w:bidi="hi-IN"/>
              </w:rPr>
              <w:t>КП «Луцькводоканал»</w:t>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18,0</w:t>
            </w:r>
          </w:p>
        </w:tc>
        <w:tc>
          <w:tcPr>
            <w:tcW w:w="8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18,2</w:t>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17,7</w:t>
            </w:r>
          </w:p>
        </w:tc>
        <w:tc>
          <w:tcPr>
            <w:tcW w:w="814"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18,1</w:t>
            </w:r>
          </w:p>
        </w:tc>
        <w:tc>
          <w:tcPr>
            <w:tcW w:w="812"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18,3</w:t>
            </w:r>
          </w:p>
        </w:tc>
        <w:tc>
          <w:tcPr>
            <w:tcW w:w="814"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eastAsia="NSimSun" w:cs="Times New Roman" w:ascii="Times New Roman" w:hAnsi="Times New Roman"/>
                <w:kern w:val="2"/>
                <w:sz w:val="20"/>
                <w:szCs w:val="20"/>
                <w:shd w:fill="FFFFFF" w:val="clear"/>
                <w:lang w:eastAsia="zh-CN" w:bidi="hi-IN"/>
              </w:rPr>
              <w:t>16,2</w:t>
            </w:r>
          </w:p>
        </w:tc>
        <w:tc>
          <w:tcPr>
            <w:tcW w:w="812" w:type="dxa"/>
            <w:tcBorders>
              <w:top w:val="single" w:sz="2" w:space="0" w:color="000000"/>
              <w:start w:val="single" w:sz="2" w:space="0" w:color="000000"/>
              <w:bottom w:val="single" w:sz="2" w:space="0" w:color="000000"/>
            </w:tcBorders>
            <w:vAlign w:val="center"/>
          </w:tcPr>
          <w:p>
            <w:pPr>
              <w:pStyle w:val="Normal"/>
              <w:widowControl w:val="false"/>
              <w:spacing w:lineRule="auto" w:line="240" w:before="0" w:after="0"/>
              <w:jc w:val="center"/>
              <w:rPr/>
            </w:pPr>
            <w:r>
              <w:rPr>
                <w:rFonts w:cs="Times New Roman" w:ascii="Times New Roman" w:hAnsi="Times New Roman"/>
                <w:sz w:val="20"/>
                <w:szCs w:val="20"/>
              </w:rPr>
              <w:t>17,9</w:t>
            </w:r>
          </w:p>
        </w:tc>
        <w:tc>
          <w:tcPr>
            <w:tcW w:w="8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40" w:before="0" w:after="0"/>
              <w:jc w:val="center"/>
              <w:rPr/>
            </w:pPr>
            <w:r>
              <w:rPr>
                <w:rFonts w:ascii="Times New Roman" w:hAnsi="Times New Roman"/>
                <w:sz w:val="20"/>
                <w:szCs w:val="20"/>
              </w:rPr>
              <w:t>16,8</w:t>
            </w:r>
          </w:p>
        </w:tc>
      </w:tr>
    </w:tbl>
    <w:p>
      <w:pPr>
        <w:pStyle w:val="Normal"/>
        <w:spacing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pPr>
      <w:r>
        <w:rPr>
          <w:rFonts w:eastAsia="NSimSun" w:cs="Times New Roman" w:ascii="Times New Roman" w:hAnsi="Times New Roman"/>
          <w:kern w:val="2"/>
          <w:sz w:val="24"/>
          <w:szCs w:val="24"/>
          <w:shd w:fill="FFFFFF" w:val="clear"/>
          <w:lang w:eastAsia="zh-CN" w:bidi="hi-IN"/>
        </w:rPr>
        <w:t xml:space="preserve">Таблиця </w:t>
      </w:r>
      <w:r>
        <w:rPr>
          <w:rFonts w:eastAsia="NSimSun" w:cs="Times New Roman" w:ascii="Times New Roman" w:hAnsi="Times New Roman"/>
          <w:color w:val="000000"/>
          <w:kern w:val="2"/>
          <w:sz w:val="24"/>
          <w:szCs w:val="24"/>
          <w:shd w:fill="FFFFFF" w:val="clear"/>
          <w:lang w:eastAsia="zh-CN" w:bidi="hi-IN"/>
        </w:rPr>
        <w:t xml:space="preserve">Д2.15.1. </w:t>
      </w:r>
      <w:r>
        <w:rPr>
          <w:rFonts w:ascii="Times New Roman" w:hAnsi="Times New Roman"/>
          <w:sz w:val="24"/>
          <w:szCs w:val="24"/>
        </w:rPr>
        <w:t>Використання відновлюваних джерел енергії</w:t>
      </w:r>
      <w:r>
        <w:rPr>
          <w:rFonts w:ascii="Times New Roman" w:hAnsi="Times New Roman"/>
          <w:color w:val="333333"/>
          <w:sz w:val="24"/>
          <w:szCs w:val="24"/>
        </w:rPr>
        <w:t xml:space="preserve"> на підприємствах водопостачання та водовідведення</w:t>
      </w:r>
    </w:p>
    <w:tbl>
      <w:tblPr>
        <w:tblW w:w="9781" w:type="dxa"/>
        <w:jc w:val="start"/>
        <w:tblInd w:w="86" w:type="dxa"/>
        <w:tblLayout w:type="fixed"/>
        <w:tblCellMar>
          <w:top w:w="0" w:type="dxa"/>
          <w:start w:w="108" w:type="dxa"/>
          <w:bottom w:w="0" w:type="dxa"/>
          <w:end w:w="108" w:type="dxa"/>
        </w:tblCellMar>
        <w:tblLook w:firstRow="1" w:noVBand="0" w:lastRow="1" w:firstColumn="1" w:lastColumn="1" w:noHBand="0" w:val="01e0"/>
      </w:tblPr>
      <w:tblGrid>
        <w:gridCol w:w="1741"/>
        <w:gridCol w:w="1725"/>
        <w:gridCol w:w="1485"/>
        <w:gridCol w:w="1618"/>
        <w:gridCol w:w="1605"/>
        <w:gridCol w:w="1606"/>
      </w:tblGrid>
      <w:tr>
        <w:trPr>
          <w:tblHeader w:val="true"/>
        </w:trPr>
        <w:tc>
          <w:tcPr>
            <w:tcW w:w="17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Найменування показника</w:t>
            </w:r>
          </w:p>
        </w:tc>
        <w:tc>
          <w:tcPr>
            <w:tcW w:w="172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Назва підприємства</w:t>
            </w:r>
          </w:p>
        </w:tc>
        <w:tc>
          <w:tcPr>
            <w:tcW w:w="14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Назва джерела енергії</w:t>
            </w:r>
          </w:p>
        </w:tc>
        <w:tc>
          <w:tcPr>
            <w:tcW w:w="161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Потужність, кВт·год/рік</w:t>
            </w:r>
          </w:p>
        </w:tc>
        <w:tc>
          <w:tcPr>
            <w:tcW w:w="160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Рік введення в експлуатацію</w:t>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Місце застосування</w:t>
            </w:r>
          </w:p>
        </w:tc>
      </w:tr>
      <w:tr>
        <w:trPr/>
        <w:tc>
          <w:tcPr>
            <w:tcW w:w="174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contextualSpacing/>
              <w:jc w:val="center"/>
              <w:rPr/>
            </w:pPr>
            <w:r>
              <w:rPr>
                <w:rFonts w:ascii="Times New Roman" w:hAnsi="Times New Roman"/>
                <w:sz w:val="20"/>
                <w:szCs w:val="20"/>
              </w:rPr>
              <w:t>Енергія сонячна</w:t>
            </w:r>
          </w:p>
        </w:tc>
        <w:tc>
          <w:tcPr>
            <w:tcW w:w="172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contextualSpacing/>
              <w:jc w:val="center"/>
              <w:rPr/>
            </w:pPr>
            <w:r>
              <w:rPr>
                <w:rFonts w:ascii="Times New Roman" w:hAnsi="Times New Roman"/>
                <w:sz w:val="20"/>
                <w:szCs w:val="20"/>
              </w:rPr>
              <w:t>КП Луцькводоканал</w:t>
            </w:r>
          </w:p>
        </w:tc>
        <w:tc>
          <w:tcPr>
            <w:tcW w:w="148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contextualSpacing/>
              <w:jc w:val="center"/>
              <w:rPr/>
            </w:pPr>
            <w:r>
              <w:rPr>
                <w:rFonts w:ascii="Times New Roman" w:hAnsi="Times New Roman"/>
                <w:sz w:val="20"/>
                <w:szCs w:val="20"/>
              </w:rPr>
              <w:t>сонячна  станція</w:t>
            </w:r>
          </w:p>
        </w:tc>
        <w:tc>
          <w:tcPr>
            <w:tcW w:w="161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contextualSpacing/>
              <w:jc w:val="center"/>
              <w:rPr/>
            </w:pPr>
            <w:r>
              <w:rPr>
                <w:rFonts w:ascii="Times New Roman" w:hAnsi="Times New Roman"/>
                <w:sz w:val="20"/>
                <w:szCs w:val="20"/>
              </w:rPr>
              <w:t>460</w:t>
            </w:r>
          </w:p>
        </w:tc>
        <w:tc>
          <w:tcPr>
            <w:tcW w:w="16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contextualSpacing/>
              <w:jc w:val="center"/>
              <w:rPr/>
            </w:pPr>
            <w:r>
              <w:rPr>
                <w:rFonts w:ascii="Times New Roman" w:hAnsi="Times New Roman"/>
                <w:sz w:val="20"/>
                <w:szCs w:val="20"/>
              </w:rPr>
              <w:t>2024</w:t>
            </w:r>
          </w:p>
        </w:tc>
        <w:tc>
          <w:tcPr>
            <w:tcW w:w="160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before="0" w:after="0"/>
              <w:contextualSpacing/>
              <w:jc w:val="center"/>
              <w:rPr/>
            </w:pPr>
            <w:r>
              <w:rPr>
                <w:rFonts w:ascii="Times New Roman" w:hAnsi="Times New Roman"/>
                <w:sz w:val="20"/>
                <w:szCs w:val="20"/>
              </w:rPr>
              <w:t>1-й та 2-й підйоми води</w:t>
            </w:r>
          </w:p>
        </w:tc>
      </w:tr>
    </w:tbl>
    <w:p>
      <w:pPr>
        <w:pStyle w:val="Normal"/>
        <w:spacing w:lineRule="auto" w:line="240" w:before="0" w:after="0"/>
        <w:ind w:firstLine="567"/>
        <w:contextualSpacing/>
        <w:jc w:val="both"/>
        <w:rPr>
          <w:rFonts w:ascii="Times New Roman" w:hAnsi="Times New Roman" w:cs="Times New Roman"/>
        </w:rPr>
      </w:pPr>
      <w:r>
        <w:rPr>
          <w:rFonts w:cs="Times New Roman" w:ascii="Times New Roman" w:hAnsi="Times New Roman"/>
        </w:rPr>
      </w:r>
    </w:p>
    <w:p>
      <w:pPr>
        <w:pStyle w:val="Normal"/>
        <w:spacing w:lineRule="auto" w:line="240" w:before="0" w:after="0"/>
        <w:ind w:firstLine="567"/>
        <w:contextualSpacing/>
        <w:jc w:val="both"/>
        <w:rPr/>
      </w:pPr>
      <w:r>
        <w:rPr>
          <w:rFonts w:eastAsia="NSimSun" w:cs="Times New Roman" w:ascii="Times New Roman" w:hAnsi="Times New Roman"/>
          <w:b/>
          <w:bCs/>
          <w:color w:val="000000"/>
          <w:kern w:val="2"/>
          <w:sz w:val="24"/>
          <w:szCs w:val="24"/>
          <w:shd w:fill="FFFFFF" w:val="clear"/>
          <w:lang w:eastAsia="zh-CN" w:bidi="hi-IN"/>
        </w:rPr>
        <w:t>Д2.3.3. Зовнішнє вуличне освітлення</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Мережі зовнішнього освітлення Луцької МТГ знаходяться на балансі комунального підприємства «Луцьке електротехнічне підприємство – Луцьксвітло».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Основною метою діяльності підприємства є забезпечення належного утримання, експлуатації, ремонту, будівництва електромереж зовнішнього освітлення та технічних засобів регулювання дорожнього руху, розподілення і постачання електроенергії, перетворення електричної енергії у світлову.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Середньорічна кількість годин освітлення міста – 2750 год. </w:t>
      </w:r>
    </w:p>
    <w:p>
      <w:pPr>
        <w:pStyle w:val="Normal"/>
        <w:tabs>
          <w:tab w:val="clear" w:pos="708"/>
          <w:tab w:val="left" w:pos="210" w:leader="none"/>
        </w:tabs>
        <w:spacing w:before="0" w:after="0"/>
        <w:jc w:val="center"/>
        <w:rPr/>
      </w:pPr>
      <w:r>
        <w:rPr>
          <w:rFonts w:eastAsia="NSimSun" w:cs="Times New Roman" w:ascii="Times New Roman" w:hAnsi="Times New Roman"/>
          <w:kern w:val="2"/>
          <w:sz w:val="24"/>
          <w:szCs w:val="24"/>
          <w:lang w:eastAsia="zh-CN" w:bidi="hi-IN"/>
        </w:rPr>
        <w:tab/>
        <w:t xml:space="preserve">Таблиця </w:t>
      </w:r>
      <w:r>
        <w:rPr>
          <w:rFonts w:eastAsia="NSimSun" w:cs="Times New Roman" w:ascii="Times New Roman" w:hAnsi="Times New Roman"/>
          <w:color w:val="000000"/>
          <w:kern w:val="2"/>
          <w:sz w:val="24"/>
          <w:szCs w:val="24"/>
          <w:lang w:eastAsia="zh-CN" w:bidi="hi-IN"/>
        </w:rPr>
        <w:t>Д2.16.</w:t>
      </w:r>
      <w:r>
        <w:rPr>
          <w:rFonts w:eastAsia="NSimSun" w:cs="Times New Roman" w:ascii="Times New Roman" w:hAnsi="Times New Roman"/>
          <w:kern w:val="2"/>
          <w:sz w:val="24"/>
          <w:szCs w:val="24"/>
          <w:lang w:eastAsia="zh-CN" w:bidi="hi-IN"/>
        </w:rPr>
        <w:t xml:space="preserve"> Споживання електроенергії на зовнішнє освітлення </w:t>
      </w:r>
    </w:p>
    <w:tbl>
      <w:tblPr>
        <w:tblW w:w="6946" w:type="dxa"/>
        <w:jc w:val="start"/>
        <w:tblInd w:w="1355" w:type="dxa"/>
        <w:tblLayout w:type="fixed"/>
        <w:tblCellMar>
          <w:top w:w="0" w:type="dxa"/>
          <w:start w:w="108" w:type="dxa"/>
          <w:bottom w:w="0" w:type="dxa"/>
          <w:end w:w="108" w:type="dxa"/>
        </w:tblCellMar>
        <w:tblLook w:firstRow="1" w:noVBand="1" w:lastRow="0" w:firstColumn="1" w:lastColumn="0" w:noHBand="0" w:val="04a0"/>
      </w:tblPr>
      <w:tblGrid>
        <w:gridCol w:w="3470"/>
        <w:gridCol w:w="3475"/>
      </w:tblGrid>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Рік</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Електроенергія, МВт.год</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2017</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3508</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2018</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3465</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2019</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3619</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2020</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3936</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2021</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4820</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2022</w:t>
            </w:r>
          </w:p>
        </w:tc>
        <w:tc>
          <w:tcPr>
            <w:tcW w:w="34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3528</w:t>
            </w:r>
          </w:p>
        </w:tc>
      </w:tr>
      <w:tr>
        <w:trPr/>
        <w:tc>
          <w:tcPr>
            <w:tcW w:w="3470"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cs="Times New Roman" w:ascii="Times New Roman" w:hAnsi="Times New Roman"/>
                <w:sz w:val="20"/>
                <w:szCs w:val="20"/>
              </w:rPr>
              <w:t>2023</w:t>
            </w:r>
          </w:p>
        </w:tc>
        <w:tc>
          <w:tcPr>
            <w:tcW w:w="3475"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cs="Times New Roman" w:ascii="Times New Roman" w:hAnsi="Times New Roman"/>
                <w:sz w:val="20"/>
                <w:szCs w:val="20"/>
              </w:rPr>
              <w:t>3425</w:t>
            </w:r>
          </w:p>
        </w:tc>
      </w:tr>
      <w:tr>
        <w:trPr/>
        <w:tc>
          <w:tcPr>
            <w:tcW w:w="3470"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cs="Times New Roman" w:ascii="Times New Roman" w:hAnsi="Times New Roman"/>
                <w:sz w:val="20"/>
                <w:szCs w:val="20"/>
              </w:rPr>
              <w:t>2024</w:t>
            </w:r>
          </w:p>
        </w:tc>
        <w:tc>
          <w:tcPr>
            <w:tcW w:w="3475"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before="0" w:after="0"/>
              <w:jc w:val="center"/>
              <w:rPr/>
            </w:pPr>
            <w:r>
              <w:rPr>
                <w:rFonts w:cs="Times New Roman" w:ascii="Times New Roman" w:hAnsi="Times New Roman"/>
                <w:sz w:val="20"/>
                <w:szCs w:val="20"/>
              </w:rPr>
              <w:t>3932</w:t>
            </w:r>
          </w:p>
        </w:tc>
      </w:tr>
    </w:tbl>
    <w:p>
      <w:pPr>
        <w:pStyle w:val="Normal"/>
        <w:tabs>
          <w:tab w:val="clear" w:pos="708"/>
          <w:tab w:val="left" w:pos="210" w:leader="none"/>
        </w:tabs>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4202430" cy="2362835"/>
            <wp:effectExtent l="0" t="0" r="0" b="0"/>
            <wp:wrapSquare wrapText="largest"/>
            <wp:docPr id="40" name="Об'єкт24"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anchor>
        </w:drawing>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rFonts w:ascii="Times New Roman" w:hAnsi="Times New Roman" w:cs="Times New Roman"/>
        </w:rPr>
      </w:pPr>
      <w:r>
        <w:rPr>
          <w:rFonts w:cs="Times New Roman" w:ascii="Times New Roman" w:hAnsi="Times New Roman"/>
        </w:rPr>
      </w:r>
    </w:p>
    <w:p>
      <w:pPr>
        <w:pStyle w:val="Normal"/>
        <w:numPr>
          <w:ilvl w:val="0"/>
          <w:numId w:val="0"/>
        </w:numPr>
        <w:spacing w:lineRule="auto" w:line="240" w:before="0" w:after="0"/>
        <w:ind w:firstLine="567" w:start="0"/>
        <w:jc w:val="center"/>
        <w:outlineLvl w:val="3"/>
        <w:rPr/>
      </w:pPr>
      <w:r>
        <w:rPr>
          <w:rFonts w:eastAsia="Arial" w:cs="Times New Roman" w:ascii="Times New Roman" w:hAnsi="Times New Roman"/>
          <w:kern w:val="2"/>
          <w:sz w:val="24"/>
          <w:szCs w:val="24"/>
        </w:rPr>
        <w:t>Рисунок </w:t>
      </w:r>
      <w:r>
        <w:rPr>
          <w:rFonts w:eastAsia="NSimSun" w:cs="Times New Roman" w:ascii="Times New Roman" w:hAnsi="Times New Roman"/>
          <w:color w:val="000000"/>
          <w:kern w:val="2"/>
          <w:sz w:val="24"/>
          <w:szCs w:val="24"/>
          <w:lang w:eastAsia="zh-CN" w:bidi="hi-IN"/>
        </w:rPr>
        <w:t>Д2.12.</w:t>
      </w:r>
      <w:r>
        <w:rPr>
          <w:rFonts w:eastAsia="Arial" w:cs="Times New Roman" w:ascii="Times New Roman" w:hAnsi="Times New Roman"/>
          <w:kern w:val="2"/>
          <w:sz w:val="24"/>
          <w:szCs w:val="24"/>
        </w:rPr>
        <w:t xml:space="preserve"> Витрати електроенергії в системі зовнішнього освітлення міста </w:t>
      </w:r>
    </w:p>
    <w:p>
      <w:pPr>
        <w:pStyle w:val="Normal"/>
        <w:tabs>
          <w:tab w:val="clear" w:pos="708"/>
          <w:tab w:val="left" w:pos="210" w:leader="none"/>
        </w:tabs>
        <w:spacing w:before="0" w:after="0"/>
        <w:jc w:val="center"/>
        <w:rPr/>
      </w:pPr>
      <w:r>
        <w:rPr>
          <w:rFonts w:eastAsia="NSimSun" w:cs="Times New Roman" w:ascii="Times New Roman" w:hAnsi="Times New Roman"/>
          <w:kern w:val="2"/>
          <w:sz w:val="24"/>
          <w:szCs w:val="24"/>
          <w:lang w:eastAsia="zh-CN" w:bidi="hi-IN"/>
        </w:rPr>
        <w:t>Таблиця </w:t>
      </w:r>
      <w:r>
        <w:rPr>
          <w:rFonts w:eastAsia="NSimSun" w:cs="Times New Roman" w:ascii="Times New Roman" w:hAnsi="Times New Roman"/>
          <w:color w:val="000000"/>
          <w:kern w:val="2"/>
          <w:sz w:val="24"/>
          <w:szCs w:val="24"/>
          <w:lang w:eastAsia="zh-CN" w:bidi="hi-IN"/>
        </w:rPr>
        <w:t>Д2.17.</w:t>
      </w:r>
      <w:r>
        <w:rPr>
          <w:rFonts w:eastAsia="NSimSun" w:cs="Times New Roman" w:ascii="Times New Roman" w:hAnsi="Times New Roman"/>
          <w:kern w:val="2"/>
          <w:sz w:val="24"/>
          <w:szCs w:val="24"/>
          <w:lang w:eastAsia="zh-CN" w:bidi="hi-IN"/>
        </w:rPr>
        <w:t> Основні параметри системи зовнішнього освітлення станом на 2024 рік</w:t>
      </w:r>
    </w:p>
    <w:tbl>
      <w:tblPr>
        <w:tblW w:w="9555" w:type="dxa"/>
        <w:jc w:val="start"/>
        <w:tblInd w:w="127" w:type="dxa"/>
        <w:tblLayout w:type="fixed"/>
        <w:tblCellMar>
          <w:top w:w="28" w:type="dxa"/>
          <w:start w:w="28" w:type="dxa"/>
          <w:bottom w:w="28" w:type="dxa"/>
          <w:end w:w="28" w:type="dxa"/>
        </w:tblCellMar>
        <w:tblLook w:firstRow="1" w:noVBand="1" w:lastRow="0" w:firstColumn="1" w:lastColumn="0" w:noHBand="0" w:val="04a0"/>
      </w:tblPr>
      <w:tblGrid>
        <w:gridCol w:w="7343"/>
        <w:gridCol w:w="2211"/>
      </w:tblGrid>
      <w:tr>
        <w:trPr/>
        <w:tc>
          <w:tcPr>
            <w:tcW w:w="7343" w:type="dxa"/>
            <w:tcBorders>
              <w:top w:val="single" w:sz="2" w:space="0" w:color="000000"/>
              <w:start w:val="single" w:sz="2" w:space="0" w:color="000000"/>
              <w:bottom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Параметр</w:t>
            </w:r>
          </w:p>
        </w:tc>
        <w:tc>
          <w:tcPr>
            <w:tcW w:w="2211" w:type="dxa"/>
            <w:tcBorders>
              <w:top w:val="single" w:sz="2" w:space="0" w:color="000000"/>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Показник</w:t>
            </w:r>
          </w:p>
        </w:tc>
      </w:tr>
      <w:tr>
        <w:trPr/>
        <w:tc>
          <w:tcPr>
            <w:tcW w:w="7343"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Загальна кількість світлоточок МТГ/місто</w:t>
            </w:r>
          </w:p>
        </w:tc>
        <w:tc>
          <w:tcPr>
            <w:tcW w:w="2211"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17 048/12 010 од.</w:t>
            </w:r>
          </w:p>
        </w:tc>
      </w:tr>
      <w:tr>
        <w:trPr/>
        <w:tc>
          <w:tcPr>
            <w:tcW w:w="7343"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Світильники різних модифікацій</w:t>
            </w:r>
          </w:p>
        </w:tc>
        <w:tc>
          <w:tcPr>
            <w:tcW w:w="2211"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11 828 од.</w:t>
            </w:r>
          </w:p>
        </w:tc>
      </w:tr>
      <w:tr>
        <w:trPr/>
        <w:tc>
          <w:tcPr>
            <w:tcW w:w="7343"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ascii="Times New Roman" w:hAnsi="Times New Roman"/>
                <w:sz w:val="20"/>
                <w:szCs w:val="20"/>
              </w:rPr>
              <w:t>Опори зовнішнього освітлення</w:t>
            </w:r>
          </w:p>
        </w:tc>
        <w:tc>
          <w:tcPr>
            <w:tcW w:w="2211"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ascii="Times New Roman" w:hAnsi="Times New Roman"/>
                <w:sz w:val="20"/>
                <w:szCs w:val="20"/>
              </w:rPr>
              <w:t>4 995 од.</w:t>
            </w:r>
          </w:p>
        </w:tc>
      </w:tr>
      <w:tr>
        <w:trPr/>
        <w:tc>
          <w:tcPr>
            <w:tcW w:w="7343"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ascii="Times New Roman" w:hAnsi="Times New Roman"/>
                <w:sz w:val="20"/>
                <w:szCs w:val="20"/>
              </w:rPr>
              <w:t>Шафи керування зовнішнім освітленням</w:t>
            </w:r>
          </w:p>
        </w:tc>
        <w:tc>
          <w:tcPr>
            <w:tcW w:w="2211"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ascii="Times New Roman" w:hAnsi="Times New Roman"/>
                <w:sz w:val="20"/>
                <w:szCs w:val="20"/>
              </w:rPr>
              <w:t>134 од.</w:t>
            </w:r>
          </w:p>
        </w:tc>
      </w:tr>
      <w:tr>
        <w:trPr/>
        <w:tc>
          <w:tcPr>
            <w:tcW w:w="7343"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Загальна протяжність мереж (повітряного розведення)</w:t>
            </w:r>
          </w:p>
        </w:tc>
        <w:tc>
          <w:tcPr>
            <w:tcW w:w="2211"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210,5 км</w:t>
            </w:r>
          </w:p>
        </w:tc>
      </w:tr>
      <w:tr>
        <w:trPr/>
        <w:tc>
          <w:tcPr>
            <w:tcW w:w="7343" w:type="dxa"/>
            <w:tcBorders>
              <w:start w:val="single" w:sz="2" w:space="0" w:color="000000"/>
              <w:bottom w:val="single" w:sz="2" w:space="0" w:color="000000"/>
            </w:tcBorders>
          </w:tcPr>
          <w:p>
            <w:pPr>
              <w:pStyle w:val="Normal"/>
              <w:widowControl w:val="false"/>
              <w:tabs>
                <w:tab w:val="clear" w:pos="708"/>
                <w:tab w:val="left" w:pos="210" w:leader="none"/>
              </w:tabs>
              <w:spacing w:before="0" w:after="0"/>
              <w:jc w:val="both"/>
              <w:rPr/>
            </w:pPr>
            <w:r>
              <w:rPr>
                <w:rFonts w:eastAsia="NSimSun" w:cs="Times New Roman" w:ascii="Times New Roman" w:hAnsi="Times New Roman"/>
                <w:kern w:val="2"/>
                <w:sz w:val="20"/>
                <w:szCs w:val="20"/>
                <w:lang w:eastAsia="zh-CN" w:bidi="hi-IN"/>
              </w:rPr>
              <w:t>Загальна протяжність мереж (підземного розведення)</w:t>
            </w:r>
          </w:p>
        </w:tc>
        <w:tc>
          <w:tcPr>
            <w:tcW w:w="2211" w:type="dxa"/>
            <w:tcBorders>
              <w:start w:val="single" w:sz="2" w:space="0" w:color="000000"/>
              <w:bottom w:val="single" w:sz="2" w:space="0" w:color="000000"/>
              <w:end w:val="single" w:sz="2" w:space="0" w:color="000000"/>
            </w:tcBorders>
          </w:tcPr>
          <w:p>
            <w:pPr>
              <w:pStyle w:val="Normal"/>
              <w:widowControl w:val="false"/>
              <w:tabs>
                <w:tab w:val="clear" w:pos="708"/>
                <w:tab w:val="left" w:pos="210" w:leader="none"/>
              </w:tabs>
              <w:spacing w:before="0" w:after="0"/>
              <w:jc w:val="center"/>
              <w:rPr/>
            </w:pPr>
            <w:r>
              <w:rPr>
                <w:rFonts w:eastAsia="NSimSun" w:cs="Times New Roman" w:ascii="Times New Roman" w:hAnsi="Times New Roman"/>
                <w:kern w:val="2"/>
                <w:sz w:val="20"/>
                <w:szCs w:val="20"/>
                <w:lang w:eastAsia="zh-CN" w:bidi="hi-IN"/>
              </w:rPr>
              <w:t>255,9 км</w:t>
            </w:r>
          </w:p>
        </w:tc>
      </w:tr>
    </w:tbl>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Для забезпечення зовнішнього освітлення вулиць м. Луцька використовуються освітлювальні прилади з різними типами ламп. Усього в місті налічується 12010 джерела світла (таблиця </w:t>
      </w:r>
      <w:r>
        <w:rPr>
          <w:rFonts w:eastAsia="NSimSun" w:cs="Times New Roman" w:ascii="Times New Roman" w:hAnsi="Times New Roman"/>
          <w:color w:val="000000"/>
          <w:kern w:val="2"/>
          <w:sz w:val="24"/>
          <w:szCs w:val="24"/>
          <w:lang w:eastAsia="zh-CN" w:bidi="hi-IN"/>
        </w:rPr>
        <w:t>Д2.18.</w:t>
      </w:r>
      <w:r>
        <w:rPr>
          <w:rFonts w:eastAsia="NSimSun" w:cs="Times New Roman" w:ascii="Times New Roman" w:hAnsi="Times New Roman"/>
          <w:kern w:val="2"/>
          <w:sz w:val="24"/>
          <w:szCs w:val="24"/>
          <w:lang w:eastAsia="zh-CN" w:bidi="hi-IN"/>
        </w:rPr>
        <w:t xml:space="preserve"> та рисунок </w:t>
      </w:r>
      <w:r>
        <w:rPr>
          <w:rFonts w:eastAsia="NSimSun" w:cs="Times New Roman" w:ascii="Times New Roman" w:hAnsi="Times New Roman"/>
          <w:color w:val="000000"/>
          <w:kern w:val="2"/>
          <w:sz w:val="24"/>
          <w:szCs w:val="24"/>
          <w:lang w:eastAsia="zh-CN" w:bidi="hi-IN"/>
        </w:rPr>
        <w:t>Д2.13.</w:t>
      </w:r>
      <w:r>
        <w:rPr>
          <w:rFonts w:eastAsia="NSimSun" w:cs="Times New Roman" w:ascii="Times New Roman" w:hAnsi="Times New Roman"/>
          <w:kern w:val="2"/>
          <w:sz w:val="24"/>
          <w:szCs w:val="24"/>
          <w:lang w:eastAsia="zh-CN" w:bidi="hi-IN"/>
        </w:rPr>
        <w:t>), розміщені на 4995 опорі.</w:t>
      </w:r>
    </w:p>
    <w:p>
      <w:pPr>
        <w:pStyle w:val="Normal"/>
        <w:tabs>
          <w:tab w:val="clear" w:pos="708"/>
          <w:tab w:val="left" w:pos="210" w:leader="none"/>
        </w:tabs>
        <w:spacing w:before="0" w:after="0"/>
        <w:jc w:val="center"/>
        <w:rPr/>
      </w:pPr>
      <w:r>
        <w:rPr>
          <w:rFonts w:eastAsia="NSimSun" w:cs="Times New Roman" w:ascii="Times New Roman" w:hAnsi="Times New Roman"/>
          <w:kern w:val="2"/>
          <w:sz w:val="24"/>
          <w:szCs w:val="24"/>
          <w:lang w:eastAsia="zh-CN" w:bidi="hi-IN"/>
        </w:rPr>
        <w:t>Таблиця </w:t>
      </w:r>
      <w:r>
        <w:rPr>
          <w:rFonts w:eastAsia="NSimSun" w:cs="Times New Roman" w:ascii="Times New Roman" w:hAnsi="Times New Roman"/>
          <w:color w:val="000000"/>
          <w:kern w:val="2"/>
          <w:sz w:val="24"/>
          <w:szCs w:val="24"/>
          <w:lang w:eastAsia="zh-CN" w:bidi="hi-IN"/>
        </w:rPr>
        <w:t>Д2.18.</w:t>
      </w:r>
      <w:r>
        <w:rPr>
          <w:rFonts w:eastAsia="NSimSun" w:cs="Times New Roman" w:ascii="Times New Roman" w:hAnsi="Times New Roman"/>
          <w:kern w:val="2"/>
          <w:sz w:val="24"/>
          <w:szCs w:val="24"/>
          <w:lang w:eastAsia="zh-CN" w:bidi="hi-IN"/>
        </w:rPr>
        <w:t> Тип освітлювальних приладів (ламп)</w:t>
      </w:r>
    </w:p>
    <w:tbl>
      <w:tblPr>
        <w:tblW w:w="9643" w:type="dxa"/>
        <w:jc w:val="start"/>
        <w:tblInd w:w="209" w:type="dxa"/>
        <w:tblLayout w:type="fixed"/>
        <w:tblCellMar>
          <w:top w:w="0" w:type="dxa"/>
          <w:start w:w="108" w:type="dxa"/>
          <w:bottom w:w="0" w:type="dxa"/>
          <w:end w:w="108" w:type="dxa"/>
        </w:tblCellMar>
        <w:tblLook w:firstRow="1" w:noVBand="1" w:lastRow="0" w:firstColumn="1" w:lastColumn="0" w:noHBand="0" w:val="04a0"/>
      </w:tblPr>
      <w:tblGrid>
        <w:gridCol w:w="4695"/>
        <w:gridCol w:w="1237"/>
        <w:gridCol w:w="1225"/>
        <w:gridCol w:w="1243"/>
        <w:gridCol w:w="1243"/>
      </w:tblGrid>
      <w:tr>
        <w:trPr/>
        <w:tc>
          <w:tcPr>
            <w:tcW w:w="469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Тип джерела освітлення (шт.)</w:t>
            </w:r>
          </w:p>
        </w:tc>
        <w:tc>
          <w:tcPr>
            <w:tcW w:w="12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2020</w:t>
            </w:r>
          </w:p>
        </w:tc>
        <w:tc>
          <w:tcPr>
            <w:tcW w:w="122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2021</w:t>
            </w:r>
          </w:p>
        </w:tc>
        <w:tc>
          <w:tcPr>
            <w:tcW w:w="1243" w:type="dxa"/>
            <w:tcBorders>
              <w:top w:val="single" w:sz="4" w:space="0" w:color="000000"/>
              <w:start w:val="single" w:sz="4" w:space="0" w:color="000000"/>
              <w:bottom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2022</w:t>
            </w:r>
          </w:p>
        </w:tc>
        <w:tc>
          <w:tcPr>
            <w:tcW w:w="124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2024</w:t>
            </w:r>
          </w:p>
        </w:tc>
      </w:tr>
      <w:tr>
        <w:trPr/>
        <w:tc>
          <w:tcPr>
            <w:tcW w:w="469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both"/>
              <w:rPr/>
            </w:pPr>
            <w:r>
              <w:rPr>
                <w:rFonts w:eastAsia="NSimSun" w:cs="Times New Roman" w:ascii="Times New Roman" w:hAnsi="Times New Roman"/>
                <w:kern w:val="2"/>
                <w:sz w:val="20"/>
                <w:szCs w:val="20"/>
                <w:lang w:eastAsia="zh-CN" w:bidi="hi-IN"/>
              </w:rPr>
              <w:t>Лампи розжарювання</w:t>
            </w:r>
          </w:p>
        </w:tc>
        <w:tc>
          <w:tcPr>
            <w:tcW w:w="12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442</w:t>
            </w:r>
          </w:p>
        </w:tc>
        <w:tc>
          <w:tcPr>
            <w:tcW w:w="122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442</w:t>
            </w:r>
          </w:p>
        </w:tc>
        <w:tc>
          <w:tcPr>
            <w:tcW w:w="1243" w:type="dxa"/>
            <w:tcBorders>
              <w:top w:val="single" w:sz="4" w:space="0" w:color="000000"/>
              <w:start w:val="single" w:sz="4" w:space="0" w:color="000000"/>
              <w:bottom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442</w:t>
            </w:r>
          </w:p>
        </w:tc>
        <w:tc>
          <w:tcPr>
            <w:tcW w:w="124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442</w:t>
            </w:r>
          </w:p>
        </w:tc>
      </w:tr>
      <w:tr>
        <w:trPr/>
        <w:tc>
          <w:tcPr>
            <w:tcW w:w="469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both"/>
              <w:rPr/>
            </w:pPr>
            <w:r>
              <w:rPr>
                <w:rFonts w:eastAsia="NSimSun" w:cs="Times New Roman" w:ascii="Times New Roman" w:hAnsi="Times New Roman"/>
                <w:kern w:val="2"/>
                <w:sz w:val="20"/>
                <w:szCs w:val="20"/>
                <w:lang w:eastAsia="zh-CN" w:bidi="hi-IN"/>
              </w:rPr>
              <w:t>Ртутні</w:t>
            </w:r>
          </w:p>
        </w:tc>
        <w:tc>
          <w:tcPr>
            <w:tcW w:w="12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2451</w:t>
            </w:r>
          </w:p>
        </w:tc>
        <w:tc>
          <w:tcPr>
            <w:tcW w:w="122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2444</w:t>
            </w:r>
          </w:p>
        </w:tc>
        <w:tc>
          <w:tcPr>
            <w:tcW w:w="1243" w:type="dxa"/>
            <w:tcBorders>
              <w:top w:val="single" w:sz="4" w:space="0" w:color="000000"/>
              <w:start w:val="single" w:sz="4" w:space="0" w:color="000000"/>
              <w:bottom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2048</w:t>
            </w:r>
          </w:p>
        </w:tc>
        <w:tc>
          <w:tcPr>
            <w:tcW w:w="124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1040</w:t>
            </w:r>
          </w:p>
        </w:tc>
      </w:tr>
      <w:tr>
        <w:trPr/>
        <w:tc>
          <w:tcPr>
            <w:tcW w:w="469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both"/>
              <w:rPr/>
            </w:pPr>
            <w:r>
              <w:rPr>
                <w:rFonts w:eastAsia="NSimSun" w:cs="Times New Roman" w:ascii="Times New Roman" w:hAnsi="Times New Roman"/>
                <w:kern w:val="2"/>
                <w:sz w:val="20"/>
                <w:szCs w:val="20"/>
                <w:lang w:eastAsia="zh-CN" w:bidi="hi-IN"/>
              </w:rPr>
              <w:t>Натрієві</w:t>
            </w:r>
          </w:p>
        </w:tc>
        <w:tc>
          <w:tcPr>
            <w:tcW w:w="12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6809</w:t>
            </w:r>
          </w:p>
        </w:tc>
        <w:tc>
          <w:tcPr>
            <w:tcW w:w="122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6786</w:t>
            </w:r>
          </w:p>
        </w:tc>
        <w:tc>
          <w:tcPr>
            <w:tcW w:w="1243" w:type="dxa"/>
            <w:tcBorders>
              <w:top w:val="single" w:sz="4" w:space="0" w:color="000000"/>
              <w:start w:val="single" w:sz="4" w:space="0" w:color="000000"/>
              <w:bottom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5158</w:t>
            </w:r>
          </w:p>
        </w:tc>
        <w:tc>
          <w:tcPr>
            <w:tcW w:w="124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4658</w:t>
            </w:r>
          </w:p>
        </w:tc>
      </w:tr>
      <w:tr>
        <w:trPr/>
        <w:tc>
          <w:tcPr>
            <w:tcW w:w="469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both"/>
              <w:rPr/>
            </w:pPr>
            <w:r>
              <w:rPr>
                <w:rFonts w:eastAsia="NSimSun" w:cs="Times New Roman" w:ascii="Times New Roman" w:hAnsi="Times New Roman"/>
                <w:kern w:val="2"/>
                <w:sz w:val="20"/>
                <w:szCs w:val="20"/>
                <w:lang w:eastAsia="uk-UA" w:bidi="hi-IN"/>
              </w:rPr>
              <w:t>LED</w:t>
            </w:r>
          </w:p>
        </w:tc>
        <w:tc>
          <w:tcPr>
            <w:tcW w:w="12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1994</w:t>
            </w:r>
          </w:p>
        </w:tc>
        <w:tc>
          <w:tcPr>
            <w:tcW w:w="122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2101</w:t>
            </w:r>
          </w:p>
        </w:tc>
        <w:tc>
          <w:tcPr>
            <w:tcW w:w="1243" w:type="dxa"/>
            <w:tcBorders>
              <w:top w:val="single" w:sz="4" w:space="0" w:color="000000"/>
              <w:start w:val="single" w:sz="4" w:space="0" w:color="000000"/>
              <w:bottom w:val="single" w:sz="4" w:space="0" w:color="000000"/>
            </w:tcBorders>
          </w:tcPr>
          <w:p>
            <w:pPr>
              <w:pStyle w:val="Normal"/>
              <w:widowControl w:val="false"/>
              <w:tabs>
                <w:tab w:val="clear" w:pos="708"/>
                <w:tab w:val="left" w:pos="210" w:leader="none"/>
              </w:tabs>
              <w:spacing w:lineRule="auto" w:line="240" w:before="0" w:after="0"/>
              <w:jc w:val="center"/>
              <w:rPr/>
            </w:pPr>
            <w:r>
              <w:rPr>
                <w:rFonts w:eastAsia="NSimSun" w:cs="Times New Roman" w:ascii="Times New Roman" w:hAnsi="Times New Roman"/>
                <w:kern w:val="2"/>
                <w:sz w:val="20"/>
                <w:szCs w:val="20"/>
                <w:lang w:eastAsia="zh-CN" w:bidi="hi-IN"/>
              </w:rPr>
              <w:t>4362</w:t>
            </w:r>
          </w:p>
        </w:tc>
        <w:tc>
          <w:tcPr>
            <w:tcW w:w="124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5870</w:t>
            </w:r>
          </w:p>
        </w:tc>
      </w:tr>
      <w:tr>
        <w:trPr/>
        <w:tc>
          <w:tcPr>
            <w:tcW w:w="4695"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rPr/>
            </w:pPr>
            <w:r>
              <w:rPr>
                <w:rFonts w:cs="Times New Roman" w:ascii="Times New Roman" w:hAnsi="Times New Roman"/>
                <w:sz w:val="20"/>
                <w:szCs w:val="20"/>
              </w:rPr>
              <w:t>Всього</w:t>
            </w:r>
          </w:p>
        </w:tc>
        <w:tc>
          <w:tcPr>
            <w:tcW w:w="1237"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11696</w:t>
            </w:r>
          </w:p>
        </w:tc>
        <w:tc>
          <w:tcPr>
            <w:tcW w:w="1225"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11773</w:t>
            </w:r>
          </w:p>
        </w:tc>
        <w:tc>
          <w:tcPr>
            <w:tcW w:w="1243" w:type="dxa"/>
            <w:tcBorders>
              <w:start w:val="single" w:sz="4" w:space="0" w:color="000000"/>
              <w:bottom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12010</w:t>
            </w:r>
          </w:p>
        </w:tc>
        <w:tc>
          <w:tcPr>
            <w:tcW w:w="1243" w:type="dxa"/>
            <w:tcBorders>
              <w:start w:val="single" w:sz="4" w:space="0" w:color="000000"/>
              <w:bottom w:val="single" w:sz="4" w:space="0" w:color="000000"/>
              <w:end w:val="single" w:sz="4" w:space="0" w:color="000000"/>
            </w:tcBorders>
          </w:tcPr>
          <w:p>
            <w:pPr>
              <w:pStyle w:val="Normal"/>
              <w:widowControl w:val="false"/>
              <w:tabs>
                <w:tab w:val="clear" w:pos="708"/>
                <w:tab w:val="left" w:pos="210" w:leader="none"/>
              </w:tabs>
              <w:spacing w:lineRule="auto" w:line="240" w:before="0" w:after="0"/>
              <w:jc w:val="center"/>
              <w:rPr/>
            </w:pPr>
            <w:r>
              <w:rPr>
                <w:rFonts w:cs="Times New Roman" w:ascii="Times New Roman" w:hAnsi="Times New Roman"/>
                <w:sz w:val="20"/>
                <w:szCs w:val="20"/>
              </w:rPr>
              <w:t>12010</w:t>
            </w:r>
          </w:p>
        </w:tc>
      </w:tr>
    </w:tbl>
    <w:p>
      <w:pPr>
        <w:pStyle w:val="Normal"/>
        <w:tabs>
          <w:tab w:val="clear" w:pos="708"/>
          <w:tab w:val="left" w:pos="210" w:leader="none"/>
        </w:tabs>
        <w:spacing w:before="0" w:after="0"/>
        <w:jc w:val="both"/>
        <w:rPr>
          <w:sz w:val="16"/>
          <w:szCs w:val="16"/>
        </w:rPr>
      </w:pPr>
      <w:r>
        <w:rPr>
          <w:sz w:val="16"/>
          <w:szCs w:val="16"/>
        </w:rPr>
      </w:r>
    </w:p>
    <w:p>
      <w:pPr>
        <w:pStyle w:val="Normal"/>
        <w:tabs>
          <w:tab w:val="clear" w:pos="708"/>
          <w:tab w:val="left" w:pos="210" w:leader="none"/>
        </w:tabs>
        <w:spacing w:before="0" w:after="0"/>
        <w:jc w:val="center"/>
        <w:rPr/>
      </w:pPr>
      <w:r>
        <w:rPr/>
        <w:drawing>
          <wp:inline distT="0" distB="0" distL="0" distR="0">
            <wp:extent cx="3874135" cy="2179955"/>
            <wp:effectExtent l="0" t="0" r="0" b="0"/>
            <wp:docPr id="41" name="Об'єкт38"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Pr>
          <w:rFonts w:cs="Times New Roman" w:ascii="Times New Roman" w:hAnsi="Times New Roman"/>
        </w:rPr>
        <w:t> </w:t>
      </w:r>
    </w:p>
    <w:p>
      <w:pPr>
        <w:pStyle w:val="Normal"/>
        <w:numPr>
          <w:ilvl w:val="0"/>
          <w:numId w:val="0"/>
        </w:numPr>
        <w:spacing w:lineRule="auto" w:line="240" w:before="0" w:after="0"/>
        <w:ind w:hanging="0" w:start="0"/>
        <w:jc w:val="center"/>
        <w:outlineLvl w:val="3"/>
        <w:rPr/>
      </w:pPr>
      <w:r>
        <w:rPr>
          <w:rFonts w:eastAsia="Arial" w:cs="Times New Roman" w:ascii="Times New Roman" w:hAnsi="Times New Roman"/>
          <w:kern w:val="2"/>
          <w:sz w:val="24"/>
          <w:szCs w:val="24"/>
        </w:rPr>
        <w:t xml:space="preserve">Рисунок </w:t>
      </w:r>
      <w:r>
        <w:rPr>
          <w:rFonts w:eastAsia="NSimSun" w:cs="Times New Roman" w:ascii="Times New Roman" w:hAnsi="Times New Roman"/>
          <w:color w:val="000000"/>
          <w:kern w:val="2"/>
          <w:sz w:val="24"/>
          <w:szCs w:val="24"/>
          <w:lang w:eastAsia="zh-CN" w:bidi="hi-IN"/>
        </w:rPr>
        <w:t>Д2.13</w:t>
      </w:r>
      <w:r>
        <w:rPr>
          <w:rFonts w:eastAsia="Arial" w:cs="Times New Roman" w:ascii="Times New Roman" w:hAnsi="Times New Roman"/>
          <w:kern w:val="2"/>
          <w:sz w:val="24"/>
          <w:szCs w:val="24"/>
        </w:rPr>
        <w:t xml:space="preserve">. Частка джерел світла в системі зовнішнього освітлення міста </w:t>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Д2.3.4. Житлові будівлі</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У таблицях </w:t>
      </w:r>
      <w:r>
        <w:rPr>
          <w:rFonts w:eastAsia="NSimSun" w:cs="Times New Roman" w:ascii="Times New Roman" w:hAnsi="Times New Roman"/>
          <w:color w:val="000000"/>
          <w:kern w:val="2"/>
          <w:sz w:val="24"/>
          <w:szCs w:val="24"/>
          <w:lang w:eastAsia="zh-CN" w:bidi="hi-IN"/>
        </w:rPr>
        <w:t xml:space="preserve">Д2.19., Д2.20. </w:t>
      </w:r>
      <w:r>
        <w:rPr>
          <w:rFonts w:eastAsia="NSimSun" w:cs="Times New Roman" w:ascii="Times New Roman" w:hAnsi="Times New Roman"/>
          <w:kern w:val="2"/>
          <w:sz w:val="24"/>
          <w:szCs w:val="24"/>
          <w:lang w:eastAsia="zh-CN" w:bidi="hi-IN"/>
        </w:rPr>
        <w:t>наведено інформацію стосовно кількості будинків за формами управління в м. Луцьку (без індивідуальних забудов) та СО Луцької МТГ (інформація департаменту житлово-комунального господарства Луцької міської ради, відділу державного архітектурно-будівельного контролю Луцької міської ради та СО Луцької МТГ).</w:t>
      </w:r>
    </w:p>
    <w:p>
      <w:pPr>
        <w:pStyle w:val="Normal"/>
        <w:spacing w:before="0" w:after="0"/>
        <w:jc w:val="center"/>
        <w:rPr/>
      </w:pPr>
      <w:r>
        <w:rPr>
          <w:rFonts w:eastAsia="NSimSun" w:cs="Times New Roman" w:ascii="Times New Roman" w:hAnsi="Times New Roman"/>
          <w:kern w:val="2"/>
          <w:sz w:val="24"/>
          <w:szCs w:val="24"/>
          <w:lang w:eastAsia="zh-CN" w:bidi="hi-IN"/>
        </w:rPr>
        <w:t>Таблиця </w:t>
      </w:r>
      <w:r>
        <w:rPr>
          <w:rFonts w:eastAsia="NSimSun" w:cs="Times New Roman" w:ascii="Times New Roman" w:hAnsi="Times New Roman"/>
          <w:color w:val="000000"/>
          <w:kern w:val="2"/>
          <w:sz w:val="24"/>
          <w:szCs w:val="24"/>
          <w:lang w:eastAsia="zh-CN" w:bidi="hi-IN"/>
        </w:rPr>
        <w:t>Д2.19.</w:t>
      </w:r>
      <w:r>
        <w:rPr>
          <w:rFonts w:eastAsia="NSimSun" w:cs="Times New Roman" w:ascii="Times New Roman" w:hAnsi="Times New Roman"/>
          <w:kern w:val="2"/>
          <w:sz w:val="24"/>
          <w:szCs w:val="24"/>
          <w:lang w:eastAsia="zh-CN" w:bidi="hi-IN"/>
        </w:rPr>
        <w:t> Кількість будинків в м. Луцьку та СО Луцької МТГ</w:t>
      </w:r>
    </w:p>
    <w:tbl>
      <w:tblPr>
        <w:tblW w:w="9599" w:type="dxa"/>
        <w:jc w:val="start"/>
        <w:tblInd w:w="101" w:type="dxa"/>
        <w:tblLayout w:type="fixed"/>
        <w:tblCellMar>
          <w:top w:w="0" w:type="dxa"/>
          <w:start w:w="5" w:type="dxa"/>
          <w:bottom w:w="0" w:type="dxa"/>
          <w:end w:w="5" w:type="dxa"/>
        </w:tblCellMar>
        <w:tblLook w:firstRow="1" w:noVBand="1" w:lastRow="0" w:firstColumn="1" w:lastColumn="0" w:noHBand="0" w:val="04a0"/>
      </w:tblPr>
      <w:tblGrid>
        <w:gridCol w:w="4213"/>
        <w:gridCol w:w="1340"/>
        <w:gridCol w:w="1354"/>
        <w:gridCol w:w="1346"/>
        <w:gridCol w:w="1346"/>
      </w:tblGrid>
      <w:tr>
        <w:trPr/>
        <w:tc>
          <w:tcPr>
            <w:tcW w:w="4213"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Типи будинків</w:t>
            </w:r>
          </w:p>
        </w:tc>
        <w:tc>
          <w:tcPr>
            <w:tcW w:w="2694"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Кількість будинків</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 xml:space="preserve"> </w:t>
            </w:r>
            <w:r>
              <w:rPr>
                <w:rFonts w:eastAsia="Microsoft Sans Serif" w:cs="Times New Roman" w:ascii="Times New Roman" w:hAnsi="Times New Roman"/>
                <w:kern w:val="2"/>
                <w:sz w:val="20"/>
                <w:szCs w:val="20"/>
                <w:shd w:fill="FFFFFF" w:val="clear"/>
              </w:rPr>
              <w:t>тис. шт.</w:t>
            </w:r>
          </w:p>
        </w:tc>
        <w:tc>
          <w:tcPr>
            <w:tcW w:w="26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Загальна площа</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тис. м</w:t>
            </w:r>
            <w:r>
              <w:rPr>
                <w:rFonts w:eastAsia="Microsoft Sans Serif" w:cs="Times New Roman" w:ascii="Times New Roman" w:hAnsi="Times New Roman"/>
                <w:kern w:val="2"/>
                <w:sz w:val="20"/>
                <w:szCs w:val="20"/>
                <w:shd w:fill="FFFFFF" w:val="clear"/>
                <w:vertAlign w:val="superscript"/>
              </w:rPr>
              <w:t>2</w:t>
            </w:r>
          </w:p>
        </w:tc>
      </w:tr>
      <w:tr>
        <w:trPr/>
        <w:tc>
          <w:tcPr>
            <w:tcW w:w="4213" w:type="dxa"/>
            <w:vMerge w:val="continue"/>
            <w:tcBorders>
              <w:start w:val="single" w:sz="4" w:space="0" w:color="000000"/>
              <w:bottom w:val="single" w:sz="4" w:space="0" w:color="000000"/>
              <w:end w:val="single" w:sz="4" w:space="0" w:color="000000"/>
            </w:tcBorders>
          </w:tcPr>
          <w:p>
            <w:pPr>
              <w:pStyle w:val="Normal"/>
              <w:spacing w:before="0" w:after="200"/>
              <w:rPr>
                <w:rFonts w:ascii="Times New Roman" w:hAnsi="Times New Roman"/>
                <w:sz w:val="20"/>
                <w:szCs w:val="20"/>
                <w:shd w:fill="FFFFFF" w:val="clear"/>
              </w:rPr>
            </w:pPr>
            <w:r>
              <w:rPr>
                <w:rFonts w:ascii="Times New Roman" w:hAnsi="Times New Roman"/>
                <w:sz w:val="20"/>
                <w:szCs w:val="20"/>
                <w:shd w:fill="FFFFFF" w:val="clear"/>
              </w:rPr>
            </w:r>
          </w:p>
        </w:tc>
        <w:tc>
          <w:tcPr>
            <w:tcW w:w="134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Луцьк</w:t>
            </w:r>
          </w:p>
        </w:tc>
        <w:tc>
          <w:tcPr>
            <w:tcW w:w="135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СО</w:t>
            </w:r>
          </w:p>
        </w:tc>
        <w:tc>
          <w:tcPr>
            <w:tcW w:w="134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Луцьк</w:t>
            </w:r>
          </w:p>
        </w:tc>
        <w:tc>
          <w:tcPr>
            <w:tcW w:w="134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СО</w:t>
            </w:r>
          </w:p>
        </w:tc>
      </w:tr>
      <w:tr>
        <w:trPr/>
        <w:tc>
          <w:tcPr>
            <w:tcW w:w="421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shd w:fill="FFFFFF" w:val="clear"/>
              </w:rPr>
              <w:t>Багатоквартирні будинки</w:t>
            </w:r>
          </w:p>
        </w:tc>
        <w:tc>
          <w:tcPr>
            <w:tcW w:w="134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1,4</w:t>
            </w:r>
          </w:p>
        </w:tc>
        <w:tc>
          <w:tcPr>
            <w:tcW w:w="135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0,5</w:t>
            </w:r>
          </w:p>
        </w:tc>
        <w:tc>
          <w:tcPr>
            <w:tcW w:w="134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rFonts w:ascii="Times New Roman" w:hAnsi="Times New Roman" w:eastAsia="Microsoft Sans Serif" w:cs="Times New Roman"/>
                <w:kern w:val="2"/>
                <w:sz w:val="20"/>
                <w:szCs w:val="20"/>
              </w:rPr>
            </w:pPr>
            <w:r>
              <w:rPr>
                <w:rFonts w:eastAsia="Microsoft Sans Serif" w:cs="Times New Roman" w:ascii="Times New Roman" w:hAnsi="Times New Roman"/>
                <w:kern w:val="2"/>
                <w:sz w:val="20"/>
                <w:szCs w:val="20"/>
              </w:rPr>
            </w:r>
          </w:p>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3636,27</w:t>
            </w:r>
          </w:p>
        </w:tc>
        <w:tc>
          <w:tcPr>
            <w:tcW w:w="134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222,73</w:t>
            </w:r>
          </w:p>
        </w:tc>
      </w:tr>
      <w:tr>
        <w:trPr/>
        <w:tc>
          <w:tcPr>
            <w:tcW w:w="421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shd w:fill="FFFFFF" w:val="clear"/>
              </w:rPr>
              <w:t>Індивідуальні забудови (1-2 квартирні будинки)</w:t>
            </w:r>
          </w:p>
        </w:tc>
        <w:tc>
          <w:tcPr>
            <w:tcW w:w="134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9,4</w:t>
            </w:r>
          </w:p>
        </w:tc>
        <w:tc>
          <w:tcPr>
            <w:tcW w:w="135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7,3</w:t>
            </w:r>
          </w:p>
        </w:tc>
        <w:tc>
          <w:tcPr>
            <w:tcW w:w="134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shd w:fill="FFFFFF" w:val="clear"/>
              </w:rPr>
            </w:pPr>
            <w:r>
              <w:rPr>
                <w:shd w:fill="FFFFFF" w:val="clear"/>
              </w:rPr>
            </w:r>
          </w:p>
        </w:tc>
        <w:tc>
          <w:tcPr>
            <w:tcW w:w="134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shd w:fill="FFFFFF" w:val="clear"/>
              </w:rPr>
            </w:pPr>
            <w:r>
              <w:rPr>
                <w:shd w:fill="FFFFFF" w:val="clear"/>
              </w:rPr>
            </w:r>
          </w:p>
        </w:tc>
      </w:tr>
      <w:tr>
        <w:trPr/>
        <w:tc>
          <w:tcPr>
            <w:tcW w:w="421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shd w:fill="FFFFFF" w:val="clear"/>
              </w:rPr>
              <w:t>Всього</w:t>
            </w:r>
          </w:p>
        </w:tc>
        <w:tc>
          <w:tcPr>
            <w:tcW w:w="134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10,8</w:t>
            </w:r>
          </w:p>
        </w:tc>
        <w:tc>
          <w:tcPr>
            <w:tcW w:w="135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7,8</w:t>
            </w:r>
          </w:p>
        </w:tc>
        <w:tc>
          <w:tcPr>
            <w:tcW w:w="134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3636,27</w:t>
            </w:r>
          </w:p>
        </w:tc>
        <w:tc>
          <w:tcPr>
            <w:tcW w:w="134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222,73</w:t>
            </w:r>
          </w:p>
        </w:tc>
      </w:tr>
      <w:tr>
        <w:trPr/>
        <w:tc>
          <w:tcPr>
            <w:tcW w:w="421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shd w:fill="FFFFFF" w:val="clear"/>
              </w:rPr>
              <w:t>Загалом по громаді</w:t>
            </w:r>
          </w:p>
        </w:tc>
        <w:tc>
          <w:tcPr>
            <w:tcW w:w="2694"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18,6</w:t>
            </w:r>
          </w:p>
        </w:tc>
        <w:tc>
          <w:tcPr>
            <w:tcW w:w="2692"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shd w:fill="FFFFFF" w:val="clear"/>
              </w:rPr>
              <w:t>3859,9</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Структуру житлового фонду Луцької МТГ наведено у таблиці </w:t>
      </w:r>
      <w:r>
        <w:rPr>
          <w:rFonts w:eastAsia="NSimSun" w:cs="Times New Roman" w:ascii="Times New Roman" w:hAnsi="Times New Roman"/>
          <w:color w:val="000000"/>
          <w:kern w:val="2"/>
          <w:sz w:val="24"/>
          <w:szCs w:val="24"/>
          <w:lang w:eastAsia="zh-CN" w:bidi="hi-IN"/>
        </w:rPr>
        <w:t>Д2.20</w:t>
      </w:r>
      <w:r>
        <w:rPr>
          <w:rFonts w:eastAsia="NSimSun" w:cs="Times New Roman" w:ascii="Times New Roman" w:hAnsi="Times New Roman"/>
          <w:kern w:val="2"/>
          <w:sz w:val="24"/>
          <w:szCs w:val="24"/>
          <w:lang w:eastAsia="zh-CN" w:bidi="hi-IN"/>
        </w:rPr>
        <w:t>.</w:t>
      </w:r>
    </w:p>
    <w:p>
      <w:pPr>
        <w:pStyle w:val="Normal"/>
        <w:spacing w:before="0" w:after="0"/>
        <w:jc w:val="center"/>
        <w:rPr/>
      </w:pPr>
      <w:r>
        <w:rPr>
          <w:rFonts w:eastAsia="NSimSun" w:cs="Times New Roman" w:ascii="Times New Roman" w:hAnsi="Times New Roman"/>
          <w:color w:val="000000"/>
          <w:kern w:val="2"/>
          <w:sz w:val="24"/>
          <w:szCs w:val="24"/>
          <w:lang w:eastAsia="zh-CN" w:bidi="hi-IN"/>
        </w:rPr>
        <w:t xml:space="preserve">Таблиця Д2.20. Структура житлового фонду Луцької МТГ </w:t>
      </w:r>
    </w:p>
    <w:tbl>
      <w:tblPr>
        <w:tblW w:w="9525" w:type="dxa"/>
        <w:jc w:val="start"/>
        <w:tblInd w:w="157" w:type="dxa"/>
        <w:tblLayout w:type="fixed"/>
        <w:tblCellMar>
          <w:top w:w="0" w:type="dxa"/>
          <w:start w:w="10" w:type="dxa"/>
          <w:bottom w:w="0" w:type="dxa"/>
          <w:end w:w="10" w:type="dxa"/>
        </w:tblCellMar>
        <w:tblLook w:firstRow="1" w:noVBand="1" w:lastRow="0" w:firstColumn="1" w:lastColumn="0" w:noHBand="0" w:val="04a0"/>
      </w:tblPr>
      <w:tblGrid>
        <w:gridCol w:w="7499"/>
        <w:gridCol w:w="2025"/>
      </w:tblGrid>
      <w:tr>
        <w:trPr>
          <w:trHeight w:val="240" w:hRule="atLeast"/>
        </w:trPr>
        <w:tc>
          <w:tcPr>
            <w:tcW w:w="7499" w:type="dxa"/>
            <w:vMerge w:val="restart"/>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Форми управління житловим фондом</w:t>
            </w:r>
          </w:p>
        </w:tc>
        <w:tc>
          <w:tcPr>
            <w:tcW w:w="202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Кількість будинків шт.</w:t>
            </w:r>
          </w:p>
        </w:tc>
      </w:tr>
      <w:tr>
        <w:trPr>
          <w:trHeight w:val="154" w:hRule="atLeast"/>
        </w:trPr>
        <w:tc>
          <w:tcPr>
            <w:tcW w:w="7499" w:type="dxa"/>
            <w:vMerge w:val="continue"/>
            <w:tcBorders>
              <w:start w:val="single" w:sz="8" w:space="0" w:color="000000"/>
              <w:bottom w:val="single" w:sz="8" w:space="0" w:color="000000"/>
              <w:end w:val="single" w:sz="8"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202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01.01.2025</w:t>
            </w:r>
          </w:p>
        </w:tc>
      </w:tr>
      <w:tr>
        <w:trPr>
          <w:trHeight w:val="287" w:hRule="atLeast"/>
        </w:trPr>
        <w:tc>
          <w:tcPr>
            <w:tcW w:w="7499"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Будинки, що визначились з управителем будинку</w:t>
            </w:r>
          </w:p>
        </w:tc>
        <w:tc>
          <w:tcPr>
            <w:tcW w:w="202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14</w:t>
            </w:r>
          </w:p>
        </w:tc>
      </w:tr>
      <w:tr>
        <w:trPr>
          <w:trHeight w:val="275" w:hRule="atLeast"/>
        </w:trPr>
        <w:tc>
          <w:tcPr>
            <w:tcW w:w="7499"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rPr/>
            </w:pPr>
            <w:r>
              <w:rPr>
                <w:rFonts w:eastAsia="NSimSun" w:cs="Times New Roman" w:ascii="Times New Roman" w:hAnsi="Times New Roman"/>
                <w:color w:val="000000"/>
                <w:kern w:val="2"/>
                <w:sz w:val="20"/>
                <w:szCs w:val="20"/>
                <w:lang w:eastAsia="zh-CN" w:bidi="hi-IN"/>
              </w:rPr>
              <w:t>Будинки, по яких призначено  управителів багатоквартирних будинків  за результатами конкурсу</w:t>
            </w:r>
          </w:p>
        </w:tc>
        <w:tc>
          <w:tcPr>
            <w:tcW w:w="202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556</w:t>
            </w:r>
          </w:p>
        </w:tc>
      </w:tr>
      <w:tr>
        <w:trPr>
          <w:trHeight w:val="275" w:hRule="atLeast"/>
        </w:trPr>
        <w:tc>
          <w:tcPr>
            <w:tcW w:w="7499"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ОСББ</w:t>
            </w:r>
          </w:p>
        </w:tc>
        <w:tc>
          <w:tcPr>
            <w:tcW w:w="202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772</w:t>
            </w:r>
          </w:p>
        </w:tc>
      </w:tr>
      <w:tr>
        <w:trPr>
          <w:trHeight w:val="293" w:hRule="atLeast"/>
        </w:trPr>
        <w:tc>
          <w:tcPr>
            <w:tcW w:w="7499"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Інша форма управління</w:t>
            </w:r>
          </w:p>
        </w:tc>
        <w:tc>
          <w:tcPr>
            <w:tcW w:w="2025"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41</w:t>
            </w:r>
          </w:p>
        </w:tc>
      </w:tr>
      <w:tr>
        <w:trPr>
          <w:trHeight w:val="277" w:hRule="atLeast"/>
        </w:trPr>
        <w:tc>
          <w:tcPr>
            <w:tcW w:w="7499"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Всього</w:t>
            </w:r>
          </w:p>
        </w:tc>
        <w:tc>
          <w:tcPr>
            <w:tcW w:w="202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1383</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На 01.01.2025 кількість ОСББ складала 772 багатоквартирних будинків, або 56 % від всіх багатоквартирних будинків м. Луцька. Будинки з ОСББ за розміром загальної площі становлять понад 77 % житлового фонду багатоквартирних будинків міста. </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Створення ОСББ є не лише дуже важливим кроком у здійсненні управління будинком, але й надає переваги в проведенні комплексної термомодернізації будинків. Тут маються на увазі додаткові можливості в отриманні грантової підтримки з різних джерел для проведення енергоощадних заходів.</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Більшість будинків у м. Луцьку побудовано у 1950-1980 роках. Виходячи з вимог сучасних будівельних стандартів такі будинки належать до класів енергоефективності E,F,G, характеризуються значними втратами тепла через огороджувальні конструкції й потребують значної кількості тепла для опалення приміщень. </w:t>
      </w:r>
    </w:p>
    <w:p>
      <w:pPr>
        <w:pStyle w:val="Normal"/>
        <w:spacing w:before="0" w:after="0"/>
        <w:ind w:firstLine="567"/>
        <w:jc w:val="both"/>
        <w:rPr/>
      </w:pPr>
      <w:r>
        <w:rPr>
          <w:rFonts w:eastAsia="NSimSun" w:cs="Times New Roman" w:ascii="Times New Roman" w:hAnsi="Times New Roman"/>
          <w:kern w:val="2"/>
          <w:sz w:val="24"/>
          <w:szCs w:val="24"/>
          <w:lang w:eastAsia="zh-CN" w:bidi="hi-IN"/>
        </w:rPr>
        <w:t>З іншого боку, у зв’язку зі зміною клімату і зростанням середніх температур, такі будинки влітку не дозволяють підтримувати комфортну температуру в приміщеннях і потребують додаткового охолодження.</w:t>
      </w:r>
    </w:p>
    <w:p>
      <w:pPr>
        <w:pStyle w:val="Normal"/>
        <w:spacing w:before="0" w:after="0"/>
        <w:ind w:firstLine="624"/>
        <w:jc w:val="both"/>
        <w:rPr/>
      </w:pPr>
      <w:r>
        <w:rPr>
          <w:rFonts w:eastAsia="NSimSun" w:cs="Times New Roman" w:ascii="Times New Roman" w:hAnsi="Times New Roman"/>
          <w:color w:val="000000"/>
          <w:kern w:val="2"/>
          <w:sz w:val="24"/>
          <w:szCs w:val="24"/>
          <w:lang w:eastAsia="zh-CN" w:bidi="hi-IN"/>
        </w:rPr>
        <w:t>Загальна кiлькiсть житлових будинкiв, що обслуговує ДКП «Луцьктепло» – 747 од, засобами обліку теплової енергiї обладнані 722 од., що становитъ 96,6 % від yciєї кiлькостi та 98,8 % від загальної опалювальної площi. Загальна опалювальна площа квартир з постачанням теплової енергiї становитъ – 2 621 173 м</w:t>
      </w:r>
      <w:r>
        <w:rPr>
          <w:rFonts w:eastAsia="NSimSun" w:cs="Times New Roman" w:ascii="Times New Roman" w:hAnsi="Times New Roman"/>
          <w:color w:val="000000"/>
          <w:kern w:val="2"/>
          <w:sz w:val="24"/>
          <w:szCs w:val="24"/>
          <w:vertAlign w:val="superscript"/>
          <w:lang w:eastAsia="zh-CN" w:bidi="hi-IN"/>
        </w:rPr>
        <w:t>2</w:t>
      </w:r>
      <w:r>
        <w:rPr>
          <w:rFonts w:eastAsia="NSimSun" w:cs="Times New Roman" w:ascii="Times New Roman" w:hAnsi="Times New Roman"/>
          <w:color w:val="000000"/>
          <w:kern w:val="2"/>
          <w:sz w:val="24"/>
          <w:szCs w:val="24"/>
          <w:lang w:eastAsia="zh-CN" w:bidi="hi-IN"/>
        </w:rPr>
        <w:t>.</w:t>
      </w:r>
    </w:p>
    <w:p>
      <w:pPr>
        <w:pStyle w:val="Normal"/>
        <w:spacing w:before="0" w:after="0"/>
        <w:ind w:firstLine="624"/>
        <w:jc w:val="both"/>
        <w:rPr/>
      </w:pPr>
      <w:r>
        <w:rPr>
          <w:rFonts w:eastAsia="NSimSun" w:cs="Times New Roman" w:ascii="Times New Roman" w:hAnsi="Times New Roman"/>
          <w:color w:val="000000"/>
          <w:kern w:val="2"/>
          <w:sz w:val="24"/>
          <w:szCs w:val="24"/>
          <w:lang w:eastAsia="zh-CN" w:bidi="hi-IN"/>
        </w:rPr>
        <w:t>Загальна кiлькiсть житлових будинкiв, що обслуговує КП «Луцькводоканал» – 20 099 од, засобами обліку споживання води обладнані – 17 450 од., що становить – 86,8 %  від усієї кількості.</w:t>
      </w:r>
    </w:p>
    <w:p>
      <w:pPr>
        <w:pStyle w:val="Normal"/>
        <w:spacing w:before="0" w:after="0"/>
        <w:ind w:firstLine="567"/>
        <w:jc w:val="both"/>
        <w:rPr/>
      </w:pPr>
      <w:r>
        <w:rPr>
          <w:rFonts w:cs="Times New Roman" w:ascii="Times New Roman" w:hAnsi="Times New Roman"/>
          <w:sz w:val="24"/>
          <w:szCs w:val="24"/>
        </w:rPr>
        <w:t xml:space="preserve">Підключення будинків до інженерних мереж та наявність вузлів комерційного обліку наведено в таблиці </w:t>
      </w:r>
      <w:r>
        <w:rPr>
          <w:rFonts w:eastAsia="NSimSun" w:cs="Times New Roman" w:ascii="Times New Roman" w:hAnsi="Times New Roman"/>
          <w:color w:val="000000"/>
          <w:kern w:val="2"/>
          <w:sz w:val="24"/>
          <w:szCs w:val="24"/>
          <w:lang w:eastAsia="zh-CN" w:bidi="hi-IN"/>
        </w:rPr>
        <w:t>Д2.21</w:t>
      </w:r>
      <w:r>
        <w:rPr>
          <w:rFonts w:cs="Times New Roman" w:ascii="Times New Roman" w:hAnsi="Times New Roman"/>
          <w:sz w:val="24"/>
          <w:szCs w:val="24"/>
        </w:rPr>
        <w:t>.</w:t>
      </w:r>
    </w:p>
    <w:p>
      <w:pPr>
        <w:pStyle w:val="Normal"/>
        <w:spacing w:lineRule="auto" w:line="240" w:before="0" w:after="0"/>
        <w:jc w:val="center"/>
        <w:rPr/>
      </w:pPr>
      <w:r>
        <w:rPr>
          <w:rFonts w:eastAsia="Microsoft Sans Serif" w:cs="Times New Roman" w:ascii="Times New Roman" w:hAnsi="Times New Roman"/>
          <w:kern w:val="2"/>
          <w:sz w:val="24"/>
          <w:szCs w:val="24"/>
        </w:rPr>
        <w:t xml:space="preserve">Таблиця </w:t>
      </w:r>
      <w:r>
        <w:rPr>
          <w:rFonts w:eastAsia="NSimSun" w:cs="Times New Roman" w:ascii="Times New Roman" w:hAnsi="Times New Roman"/>
          <w:color w:val="000000"/>
          <w:kern w:val="2"/>
          <w:sz w:val="24"/>
          <w:szCs w:val="24"/>
          <w:lang w:eastAsia="zh-CN" w:bidi="hi-IN"/>
        </w:rPr>
        <w:t>Д2.21</w:t>
      </w:r>
      <w:r>
        <w:rPr>
          <w:rFonts w:eastAsia="Microsoft Sans Serif" w:cs="Times New Roman" w:ascii="Times New Roman" w:hAnsi="Times New Roman"/>
          <w:kern w:val="2"/>
          <w:sz w:val="24"/>
          <w:szCs w:val="24"/>
        </w:rPr>
        <w:t> Інформація про підключення будинків до інженерних мереж та наявність вузлів комерційного обліку</w:t>
      </w:r>
    </w:p>
    <w:tbl>
      <w:tblPr>
        <w:tblW w:w="9524" w:type="dxa"/>
        <w:jc w:val="start"/>
        <w:tblInd w:w="340" w:type="dxa"/>
        <w:tblLayout w:type="fixed"/>
        <w:tblCellMar>
          <w:top w:w="0" w:type="dxa"/>
          <w:start w:w="108" w:type="dxa"/>
          <w:bottom w:w="0" w:type="dxa"/>
          <w:end w:w="108" w:type="dxa"/>
        </w:tblCellMar>
        <w:tblLook w:firstRow="1" w:noVBand="1" w:lastRow="0" w:firstColumn="1" w:lastColumn="0" w:noHBand="0" w:val="04a0"/>
      </w:tblPr>
      <w:tblGrid>
        <w:gridCol w:w="7102"/>
        <w:gridCol w:w="1215"/>
        <w:gridCol w:w="1207"/>
      </w:tblGrid>
      <w:tr>
        <w:trPr/>
        <w:tc>
          <w:tcPr>
            <w:tcW w:w="7102" w:type="dxa"/>
            <w:tcBorders>
              <w:top w:val="single" w:sz="8" w:space="0" w:color="000000"/>
              <w:start w:val="single" w:sz="8" w:space="0" w:color="000000"/>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Параметр</w:t>
            </w:r>
          </w:p>
        </w:tc>
        <w:tc>
          <w:tcPr>
            <w:tcW w:w="1215" w:type="dxa"/>
            <w:tcBorders>
              <w:top w:val="single" w:sz="8" w:space="0" w:color="000000"/>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Всього</w:t>
            </w:r>
          </w:p>
        </w:tc>
        <w:tc>
          <w:tcPr>
            <w:tcW w:w="1207" w:type="dxa"/>
            <w:tcBorders>
              <w:top w:val="single" w:sz="8" w:space="0" w:color="000000"/>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 xml:space="preserve"> </w:t>
            </w:r>
            <w:r>
              <w:rPr>
                <w:rFonts w:eastAsia="Times New Roman" w:cs="Times New Roman" w:ascii="Times New Roman" w:hAnsi="Times New Roman"/>
                <w:color w:val="000000"/>
                <w:kern w:val="2"/>
                <w:sz w:val="20"/>
                <w:szCs w:val="20"/>
                <w:lang w:eastAsia="ru-RU" w:bidi="hi-IN"/>
              </w:rPr>
              <w:t>%</w:t>
            </w:r>
          </w:p>
        </w:tc>
      </w:tr>
      <w:tr>
        <w:trPr/>
        <w:tc>
          <w:tcPr>
            <w:tcW w:w="7102" w:type="dxa"/>
            <w:tcBorders>
              <w:start w:val="single" w:sz="8" w:space="0" w:color="000000"/>
              <w:bottom w:val="single" w:sz="8" w:space="0" w:color="000000"/>
              <w:end w:val="single" w:sz="8" w:space="0" w:color="000000"/>
            </w:tcBorders>
            <w:vAlign w:val="center"/>
          </w:tcPr>
          <w:p>
            <w:pPr>
              <w:pStyle w:val="Normal"/>
              <w:widowControl w:val="false"/>
              <w:spacing w:lineRule="auto" w:line="240" w:before="0" w:after="0"/>
              <w:jc w:val="both"/>
              <w:rPr/>
            </w:pPr>
            <w:r>
              <w:rPr>
                <w:rFonts w:eastAsia="Times New Roman" w:cs="Times New Roman" w:ascii="Times New Roman" w:hAnsi="Times New Roman"/>
                <w:color w:val="000000"/>
                <w:kern w:val="2"/>
                <w:sz w:val="20"/>
                <w:szCs w:val="20"/>
                <w:lang w:eastAsia="ru-RU" w:bidi="hi-IN"/>
              </w:rPr>
              <w:t>Кількість будинків з централізованим опаленням, шт.</w:t>
            </w:r>
          </w:p>
        </w:tc>
        <w:tc>
          <w:tcPr>
            <w:tcW w:w="1215"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747</w:t>
            </w:r>
          </w:p>
        </w:tc>
        <w:tc>
          <w:tcPr>
            <w:tcW w:w="1207"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w:t>
            </w:r>
          </w:p>
        </w:tc>
      </w:tr>
      <w:tr>
        <w:trPr/>
        <w:tc>
          <w:tcPr>
            <w:tcW w:w="7102" w:type="dxa"/>
            <w:tcBorders>
              <w:start w:val="single" w:sz="8" w:space="0" w:color="000000"/>
              <w:bottom w:val="single" w:sz="8" w:space="0" w:color="000000"/>
              <w:end w:val="single" w:sz="8" w:space="0" w:color="000000"/>
            </w:tcBorders>
            <w:vAlign w:val="center"/>
          </w:tcPr>
          <w:p>
            <w:pPr>
              <w:pStyle w:val="Normal"/>
              <w:widowControl w:val="false"/>
              <w:spacing w:lineRule="auto" w:line="240" w:before="0" w:after="0"/>
              <w:jc w:val="both"/>
              <w:rPr/>
            </w:pPr>
            <w:r>
              <w:rPr>
                <w:rFonts w:eastAsia="Times New Roman" w:cs="Times New Roman" w:ascii="Times New Roman" w:hAnsi="Times New Roman"/>
                <w:color w:val="000000"/>
                <w:kern w:val="2"/>
                <w:sz w:val="20"/>
                <w:szCs w:val="20"/>
                <w:lang w:eastAsia="ru-RU" w:bidi="hi-IN"/>
              </w:rPr>
              <w:t>в тому числі, обладнані будинковими приладами обліку тепла, шт.</w:t>
            </w:r>
          </w:p>
        </w:tc>
        <w:tc>
          <w:tcPr>
            <w:tcW w:w="1215"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722</w:t>
            </w:r>
          </w:p>
        </w:tc>
        <w:tc>
          <w:tcPr>
            <w:tcW w:w="1207"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96,6</w:t>
            </w:r>
          </w:p>
        </w:tc>
      </w:tr>
      <w:tr>
        <w:trPr/>
        <w:tc>
          <w:tcPr>
            <w:tcW w:w="7102" w:type="dxa"/>
            <w:tcBorders>
              <w:start w:val="single" w:sz="8" w:space="0" w:color="000000"/>
              <w:bottom w:val="single" w:sz="8" w:space="0" w:color="000000"/>
              <w:end w:val="single" w:sz="8" w:space="0" w:color="000000"/>
            </w:tcBorders>
            <w:vAlign w:val="center"/>
          </w:tcPr>
          <w:p>
            <w:pPr>
              <w:pStyle w:val="Normal"/>
              <w:widowControl w:val="false"/>
              <w:spacing w:lineRule="auto" w:line="240" w:before="0" w:after="0"/>
              <w:jc w:val="both"/>
              <w:rPr/>
            </w:pPr>
            <w:r>
              <w:rPr>
                <w:rFonts w:eastAsia="Times New Roman" w:cs="Times New Roman" w:ascii="Times New Roman" w:hAnsi="Times New Roman"/>
                <w:color w:val="000000"/>
                <w:kern w:val="2"/>
                <w:sz w:val="20"/>
                <w:szCs w:val="20"/>
                <w:lang w:eastAsia="ru-RU" w:bidi="hi-IN"/>
              </w:rPr>
              <w:t>Кількість будинків з централізованим водопостачанням, шт.</w:t>
            </w:r>
          </w:p>
        </w:tc>
        <w:tc>
          <w:tcPr>
            <w:tcW w:w="1215"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20099</w:t>
            </w:r>
          </w:p>
        </w:tc>
        <w:tc>
          <w:tcPr>
            <w:tcW w:w="1207"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w:t>
            </w:r>
          </w:p>
        </w:tc>
      </w:tr>
      <w:tr>
        <w:trPr/>
        <w:tc>
          <w:tcPr>
            <w:tcW w:w="7102" w:type="dxa"/>
            <w:tcBorders>
              <w:start w:val="single" w:sz="8" w:space="0" w:color="000000"/>
              <w:bottom w:val="single" w:sz="8" w:space="0" w:color="000000"/>
              <w:end w:val="single" w:sz="8" w:space="0" w:color="000000"/>
            </w:tcBorders>
            <w:vAlign w:val="center"/>
          </w:tcPr>
          <w:p>
            <w:pPr>
              <w:pStyle w:val="Normal"/>
              <w:widowControl w:val="false"/>
              <w:spacing w:lineRule="auto" w:line="240" w:before="0" w:after="0"/>
              <w:jc w:val="both"/>
              <w:rPr/>
            </w:pPr>
            <w:r>
              <w:rPr>
                <w:rFonts w:eastAsia="Times New Roman" w:cs="Times New Roman" w:ascii="Times New Roman" w:hAnsi="Times New Roman"/>
                <w:color w:val="000000"/>
                <w:kern w:val="2"/>
                <w:sz w:val="20"/>
                <w:szCs w:val="20"/>
                <w:lang w:eastAsia="ru-RU" w:bidi="hi-IN"/>
              </w:rPr>
              <w:t>в тому числі, обладнані будинковими приладами обліку води, шт.</w:t>
            </w:r>
          </w:p>
        </w:tc>
        <w:tc>
          <w:tcPr>
            <w:tcW w:w="1215"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17450</w:t>
            </w:r>
          </w:p>
        </w:tc>
        <w:tc>
          <w:tcPr>
            <w:tcW w:w="1207" w:type="dxa"/>
            <w:tcBorders>
              <w:bottom w:val="single" w:sz="8" w:space="0" w:color="000000"/>
              <w:end w:val="single" w:sz="8" w:space="0" w:color="000000"/>
            </w:tcBorders>
            <w:vAlign w:val="center"/>
          </w:tcPr>
          <w:p>
            <w:pPr>
              <w:pStyle w:val="Normal"/>
              <w:widowControl w:val="false"/>
              <w:spacing w:lineRule="auto" w:line="240" w:before="0" w:after="0"/>
              <w:jc w:val="center"/>
              <w:rPr/>
            </w:pPr>
            <w:r>
              <w:rPr>
                <w:rFonts w:eastAsia="Times New Roman" w:cs="Times New Roman" w:ascii="Times New Roman" w:hAnsi="Times New Roman"/>
                <w:color w:val="000000"/>
                <w:kern w:val="2"/>
                <w:sz w:val="20"/>
                <w:szCs w:val="20"/>
                <w:lang w:eastAsia="ru-RU" w:bidi="hi-IN"/>
              </w:rPr>
              <w:t>86,8</w:t>
            </w:r>
          </w:p>
        </w:tc>
      </w:tr>
    </w:tbl>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В таблиці </w:t>
      </w:r>
      <w:r>
        <w:rPr>
          <w:rFonts w:eastAsia="NSimSun" w:cs="Times New Roman" w:ascii="Times New Roman" w:hAnsi="Times New Roman"/>
          <w:color w:val="000000"/>
          <w:kern w:val="2"/>
          <w:sz w:val="24"/>
          <w:szCs w:val="24"/>
          <w:lang w:eastAsia="zh-CN" w:bidi="hi-IN"/>
        </w:rPr>
        <w:t>Д2.22</w:t>
      </w:r>
      <w:r>
        <w:rPr>
          <w:rFonts w:eastAsia="NSimSun" w:cs="Times New Roman" w:ascii="Times New Roman" w:hAnsi="Times New Roman"/>
          <w:kern w:val="2"/>
          <w:sz w:val="24"/>
          <w:szCs w:val="24"/>
          <w:lang w:eastAsia="zh-CN" w:bidi="hi-IN"/>
        </w:rPr>
        <w:t xml:space="preserve"> та на рисунках </w:t>
      </w:r>
      <w:r>
        <w:rPr>
          <w:rFonts w:eastAsia="NSimSun" w:cs="Times New Roman" w:ascii="Times New Roman" w:hAnsi="Times New Roman"/>
          <w:color w:val="000000"/>
          <w:kern w:val="2"/>
          <w:sz w:val="24"/>
          <w:szCs w:val="24"/>
          <w:lang w:eastAsia="zh-CN" w:bidi="hi-IN"/>
        </w:rPr>
        <w:t>Д2.14. - Д2.16.</w:t>
      </w:r>
      <w:r>
        <w:rPr>
          <w:rFonts w:eastAsia="NSimSun" w:cs="Times New Roman" w:ascii="Times New Roman" w:hAnsi="Times New Roman"/>
          <w:kern w:val="2"/>
          <w:sz w:val="24"/>
          <w:szCs w:val="24"/>
          <w:lang w:eastAsia="zh-CN" w:bidi="hi-IN"/>
        </w:rPr>
        <w:t xml:space="preserve"> наведено дані споживання паливно-енергетичних ресурсів у житлових будинках у період 2017-2024 роки.</w:t>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lang w:eastAsia="zh-CN" w:bidi="hi-IN"/>
        </w:rPr>
        <w:t>Д2.22.</w:t>
      </w:r>
      <w:r>
        <w:rPr>
          <w:rFonts w:eastAsia="NSimSun" w:cs="Times New Roman" w:ascii="Times New Roman" w:hAnsi="Times New Roman"/>
          <w:kern w:val="2"/>
          <w:sz w:val="24"/>
          <w:szCs w:val="24"/>
          <w:lang w:eastAsia="zh-CN" w:bidi="hi-IN"/>
        </w:rPr>
        <w:t xml:space="preserve"> Споживання паливно-енергетичних ресурсів житловим фондом Луцька</w:t>
      </w:r>
    </w:p>
    <w:tbl>
      <w:tblPr>
        <w:tblW w:w="9525" w:type="dxa"/>
        <w:jc w:val="start"/>
        <w:tblInd w:w="148" w:type="dxa"/>
        <w:tblLayout w:type="fixed"/>
        <w:tblCellMar>
          <w:top w:w="0" w:type="dxa"/>
          <w:start w:w="7" w:type="dxa"/>
          <w:bottom w:w="0" w:type="dxa"/>
          <w:end w:w="10" w:type="dxa"/>
        </w:tblCellMar>
        <w:tblLook w:firstRow="1" w:noVBand="1" w:lastRow="0" w:firstColumn="1" w:lastColumn="0" w:noHBand="0" w:val="04a0"/>
      </w:tblPr>
      <w:tblGrid>
        <w:gridCol w:w="1143"/>
        <w:gridCol w:w="2687"/>
        <w:gridCol w:w="2667"/>
        <w:gridCol w:w="3027"/>
      </w:tblGrid>
      <w:tr>
        <w:trPr/>
        <w:tc>
          <w:tcPr>
            <w:tcW w:w="1143"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Роки</w:t>
            </w:r>
          </w:p>
        </w:tc>
        <w:tc>
          <w:tcPr>
            <w:tcW w:w="2687"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Теплова енергія</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тис.Гкал</w:t>
            </w:r>
          </w:p>
        </w:tc>
        <w:tc>
          <w:tcPr>
            <w:tcW w:w="2667" w:type="dxa"/>
            <w:tcBorders>
              <w:top w:val="single" w:sz="2" w:space="0" w:color="000000"/>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Газопостачання</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тис.м</w:t>
            </w:r>
            <w:r>
              <w:rPr>
                <w:rFonts w:eastAsia="Microsoft Sans Serif" w:cs="Times New Roman" w:ascii="Times New Roman" w:hAnsi="Times New Roman"/>
                <w:kern w:val="2"/>
                <w:sz w:val="20"/>
                <w:szCs w:val="20"/>
                <w:vertAlign w:val="superscript"/>
              </w:rPr>
              <w:t>3</w:t>
            </w:r>
          </w:p>
        </w:tc>
        <w:tc>
          <w:tcPr>
            <w:tcW w:w="302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Електропостачання</w:t>
            </w:r>
          </w:p>
          <w:p>
            <w:pPr>
              <w:pStyle w:val="Normal"/>
              <w:widowControl w:val="false"/>
              <w:spacing w:lineRule="auto" w:line="240" w:before="0" w:after="0"/>
              <w:jc w:val="center"/>
              <w:rPr/>
            </w:pPr>
            <w:r>
              <w:rPr>
                <w:rFonts w:eastAsia="Microsoft Sans Serif" w:cs="Times New Roman" w:ascii="Times New Roman" w:hAnsi="Times New Roman"/>
                <w:kern w:val="2"/>
                <w:sz w:val="20"/>
                <w:szCs w:val="20"/>
              </w:rPr>
              <w:t>тис.МВт.год</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2017</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371,90</w:t>
            </w:r>
          </w:p>
        </w:tc>
        <w:tc>
          <w:tcPr>
            <w:tcW w:w="266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80439,90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135,80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2018</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390,70</w:t>
            </w:r>
          </w:p>
        </w:tc>
        <w:tc>
          <w:tcPr>
            <w:tcW w:w="266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74280,30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136,40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2019</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296,40</w:t>
            </w:r>
          </w:p>
        </w:tc>
        <w:tc>
          <w:tcPr>
            <w:tcW w:w="266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62328,10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138,90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2020</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309,75</w:t>
            </w:r>
          </w:p>
        </w:tc>
        <w:tc>
          <w:tcPr>
            <w:tcW w:w="266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67640,00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215,30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2021</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318,95</w:t>
            </w:r>
          </w:p>
        </w:tc>
        <w:tc>
          <w:tcPr>
            <w:tcW w:w="266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70326,50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233,60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2022</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258,85</w:t>
            </w:r>
          </w:p>
        </w:tc>
        <w:tc>
          <w:tcPr>
            <w:tcW w:w="266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69999,30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228,80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2023</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256,10</w:t>
            </w:r>
          </w:p>
        </w:tc>
        <w:tc>
          <w:tcPr>
            <w:tcW w:w="2667" w:type="dxa"/>
            <w:tcBorders>
              <w:start w:val="single" w:sz="2" w:space="0" w:color="000000"/>
              <w:bottom w:val="single" w:sz="2" w:space="0" w:color="000000"/>
            </w:tcBorders>
            <w:shd w:color="auto" w:fill="FFFFFF" w:val="clear"/>
          </w:tcPr>
          <w:p>
            <w:pPr>
              <w:pStyle w:val="Style25"/>
              <w:spacing w:before="0" w:after="0"/>
              <w:jc w:val="center"/>
              <w:rPr/>
            </w:pPr>
            <w:r>
              <w:rPr>
                <w:rFonts w:ascii="Times New Roman" w:hAnsi="Times New Roman"/>
                <w:color w:val="000000"/>
                <w:sz w:val="20"/>
                <w:szCs w:val="20"/>
              </w:rPr>
              <w:t>70923,90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150,10</w:t>
            </w:r>
          </w:p>
        </w:tc>
      </w:tr>
      <w:tr>
        <w:trPr/>
        <w:tc>
          <w:tcPr>
            <w:tcW w:w="1143"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2024</w:t>
            </w:r>
          </w:p>
        </w:tc>
        <w:tc>
          <w:tcPr>
            <w:tcW w:w="2687" w:type="dxa"/>
            <w:tcBorders>
              <w:start w:val="single" w:sz="2" w:space="0" w:color="000000"/>
              <w:bottom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261,48</w:t>
            </w:r>
          </w:p>
        </w:tc>
        <w:tc>
          <w:tcPr>
            <w:tcW w:w="2667" w:type="dxa"/>
            <w:tcBorders>
              <w:start w:val="single" w:sz="2" w:space="0" w:color="000000"/>
              <w:bottom w:val="single" w:sz="2" w:space="0" w:color="000000"/>
            </w:tcBorders>
            <w:shd w:color="auto" w:fill="FFFFFF" w:val="clear"/>
          </w:tcPr>
          <w:p>
            <w:pPr>
              <w:pStyle w:val="Style25"/>
              <w:spacing w:before="0" w:after="0"/>
              <w:jc w:val="center"/>
              <w:rPr/>
            </w:pPr>
            <w:r>
              <w:rPr>
                <w:rFonts w:ascii="Times New Roman" w:hAnsi="Times New Roman"/>
                <w:color w:val="000000"/>
                <w:sz w:val="20"/>
                <w:szCs w:val="20"/>
              </w:rPr>
              <w:t>68462,50</w:t>
            </w:r>
          </w:p>
        </w:tc>
        <w:tc>
          <w:tcPr>
            <w:tcW w:w="3027" w:type="dxa"/>
            <w:tcBorders>
              <w:start w:val="single" w:sz="2" w:space="0" w:color="000000"/>
              <w:bottom w:val="single" w:sz="2" w:space="0" w:color="000000"/>
              <w:end w:val="single" w:sz="2" w:space="0" w:color="000000"/>
            </w:tcBorders>
            <w:shd w:color="auto" w:fill="FFFFFF" w:val="clear"/>
          </w:tcPr>
          <w:p>
            <w:pPr>
              <w:pStyle w:val="Normal"/>
              <w:widowControl w:val="false"/>
              <w:spacing w:lineRule="auto" w:line="240" w:before="0" w:after="0"/>
              <w:jc w:val="center"/>
              <w:rPr/>
            </w:pPr>
            <w:r>
              <w:rPr>
                <w:rFonts w:cs="Times New Roman" w:ascii="Times New Roman" w:hAnsi="Times New Roman"/>
                <w:sz w:val="20"/>
                <w:szCs w:val="20"/>
              </w:rPr>
              <w:t>147,20</w:t>
            </w:r>
          </w:p>
        </w:tc>
      </w:tr>
    </w:tbl>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20">
            <wp:simplePos x="0" y="0"/>
            <wp:positionH relativeFrom="column">
              <wp:posOffset>1166495</wp:posOffset>
            </wp:positionH>
            <wp:positionV relativeFrom="paragraph">
              <wp:posOffset>26670</wp:posOffset>
            </wp:positionV>
            <wp:extent cx="4010660" cy="2168525"/>
            <wp:effectExtent l="0" t="0" r="0" b="0"/>
            <wp:wrapSquare wrapText="bothSides"/>
            <wp:docPr id="42" name="Об'єкт48"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anchor>
        </w:drawing>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 xml:space="preserve">Рисунок Д2.14. Споживання теплової енергії, тис.Гкал </w:t>
      </w:r>
      <w:r>
        <w:rPr>
          <w:rFonts w:eastAsia="NSimSun" w:cs="Times New Roman" w:ascii="Times New Roman" w:hAnsi="Times New Roman"/>
          <w:color w:val="FF0000"/>
          <w:kern w:val="2"/>
          <w:sz w:val="24"/>
          <w:szCs w:val="24"/>
          <w:lang w:eastAsia="zh-CN" w:bidi="hi-IN"/>
        </w:rPr>
        <w:t xml:space="preserve"> </w:t>
      </w:r>
    </w:p>
    <w:p>
      <w:pPr>
        <w:pStyle w:val="Normal"/>
        <w:spacing w:before="0" w:after="0"/>
        <w:ind w:firstLine="567"/>
        <w:jc w:val="both"/>
        <w:rPr/>
      </w:pPr>
      <w:r>
        <w:rPr>
          <w:rFonts w:eastAsia="NSimSun" w:cs="Times New Roman" w:ascii="Times New Roman" w:hAnsi="Times New Roman"/>
          <w:kern w:val="2"/>
          <w:sz w:val="24"/>
          <w:szCs w:val="24"/>
          <w:lang w:eastAsia="zh-CN" w:bidi="hi-IN"/>
        </w:rPr>
        <w:t>Зменшення споживання населенням теплової енергії в основному пов’язана із впровадженням енергоефективних заходів у житловому секторі, що проводилися мешканцями приватних господарств, власниками квартир у багатоквартирних будинках і ОСББ.</w:t>
      </w:r>
    </w:p>
    <w:p>
      <w:pPr>
        <w:pStyle w:val="Normal"/>
        <w:spacing w:before="0" w:after="0"/>
        <w:rPr/>
      </w:pPr>
      <w: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19">
            <wp:simplePos x="0" y="0"/>
            <wp:positionH relativeFrom="column">
              <wp:posOffset>1082040</wp:posOffset>
            </wp:positionH>
            <wp:positionV relativeFrom="paragraph">
              <wp:posOffset>-15875</wp:posOffset>
            </wp:positionV>
            <wp:extent cx="4085590" cy="2225675"/>
            <wp:effectExtent l="0" t="0" r="0" b="0"/>
            <wp:wrapSquare wrapText="bothSides"/>
            <wp:docPr id="43" name="Об'єкт47"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anchor>
        </w:drawing>
        <w:t> </w:t>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pPr>
      <w:r>
        <w:rPr>
          <w:rFonts w:eastAsia="NSimSun" w:cs="Times New Roman" w:ascii="Times New Roman" w:hAnsi="Times New Roman"/>
          <w:kern w:val="2"/>
          <w:sz w:val="24"/>
          <w:szCs w:val="24"/>
          <w:lang w:eastAsia="zh-CN" w:bidi="hi-IN"/>
        </w:rPr>
        <w:t>Рисунок </w:t>
      </w:r>
      <w:r>
        <w:rPr>
          <w:rFonts w:eastAsia="NSimSun" w:cs="Times New Roman" w:ascii="Times New Roman" w:hAnsi="Times New Roman"/>
          <w:color w:val="000000"/>
          <w:kern w:val="2"/>
          <w:sz w:val="24"/>
          <w:szCs w:val="24"/>
          <w:lang w:eastAsia="zh-CN" w:bidi="hi-IN"/>
        </w:rPr>
        <w:t>Д2.15.</w:t>
      </w:r>
      <w:r>
        <w:rPr>
          <w:rFonts w:eastAsia="NSimSun" w:cs="Times New Roman" w:ascii="Times New Roman" w:hAnsi="Times New Roman"/>
          <w:kern w:val="2"/>
          <w:sz w:val="24"/>
          <w:szCs w:val="24"/>
          <w:lang w:eastAsia="zh-CN" w:bidi="hi-IN"/>
        </w:rPr>
        <w:t> Обсяги постачання природного газу</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Споживання газу населенням зростає в зв’язку з тим, що більша частина новобудов в місті та його околицях опалюються індивідуальними газовими котлами. </w:t>
      </w:r>
    </w:p>
    <w:p>
      <w:pPr>
        <w:pStyle w:val="Normal"/>
        <w:spacing w:before="0" w:after="0"/>
        <w:jc w:val="center"/>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18">
            <wp:simplePos x="0" y="0"/>
            <wp:positionH relativeFrom="column">
              <wp:posOffset>1051560</wp:posOffset>
            </wp:positionH>
            <wp:positionV relativeFrom="paragraph">
              <wp:posOffset>61595</wp:posOffset>
            </wp:positionV>
            <wp:extent cx="4197350" cy="2360295"/>
            <wp:effectExtent l="0" t="0" r="0" b="0"/>
            <wp:wrapSquare wrapText="largest"/>
            <wp:docPr id="44" name="Об'єкт27"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anchor>
        </w:drawing>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eastAsia="NSimSun" w:cs="Times New Roman" w:ascii="Times New Roman" w:hAnsi="Times New Roman"/>
          <w:kern w:val="2"/>
          <w:sz w:val="24"/>
          <w:szCs w:val="24"/>
          <w:lang w:eastAsia="zh-CN" w:bidi="hi-IN"/>
        </w:rPr>
        <w:t xml:space="preserve">Рисунок </w:t>
      </w:r>
      <w:r>
        <w:rPr>
          <w:rFonts w:eastAsia="NSimSun" w:cs="Times New Roman" w:ascii="Times New Roman" w:hAnsi="Times New Roman"/>
          <w:color w:val="000000"/>
          <w:kern w:val="2"/>
          <w:sz w:val="24"/>
          <w:szCs w:val="24"/>
          <w:lang w:eastAsia="zh-CN" w:bidi="hi-IN"/>
        </w:rPr>
        <w:t>Д2.16.</w:t>
      </w:r>
      <w:r>
        <w:rPr>
          <w:rFonts w:eastAsia="NSimSun" w:cs="Times New Roman" w:ascii="Times New Roman" w:hAnsi="Times New Roman"/>
          <w:kern w:val="2"/>
          <w:sz w:val="24"/>
          <w:szCs w:val="24"/>
          <w:lang w:eastAsia="zh-CN" w:bidi="hi-IN"/>
        </w:rPr>
        <w:t xml:space="preserve"> Обсяги постачання електроенергії  </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Споживання електроенергії житловим фондом помітно зросло протягом 2020-2022 років, бо населення все більше користувалися енергоємними побутовими приладами в т.ч. електрообігрівачами та кондиціонерами у міжопалювальний період. Протягом 2023-2024 років відбулось зниження споживання електроенергії (внаслідок повномасштабного вторгнення РФ в Україну з лютого 2022 року було пошкоджено значну ч</w:t>
      </w:r>
      <w:r>
        <w:rPr>
          <w:rFonts w:eastAsia="NSimSun" w:cs="Times New Roman" w:ascii="Times New Roman" w:hAnsi="Times New Roman"/>
          <w:kern w:val="2"/>
          <w:sz w:val="24"/>
          <w:szCs w:val="24"/>
          <w:shd w:fill="FFFFFF" w:val="clear"/>
          <w:lang w:val="en-US" w:eastAsia="zh-CN" w:bidi="hi-IN"/>
        </w:rPr>
        <w:t>астин</w:t>
      </w:r>
      <w:r>
        <w:rPr>
          <w:rFonts w:eastAsia="NSimSun" w:cs="Times New Roman" w:ascii="Times New Roman" w:hAnsi="Times New Roman"/>
          <w:kern w:val="2"/>
          <w:sz w:val="24"/>
          <w:szCs w:val="24"/>
          <w:shd w:fill="FFFFFF" w:val="clear"/>
          <w:lang w:eastAsia="zh-CN" w:bidi="hi-IN"/>
        </w:rPr>
        <w:t>у енергетичного сектору України (понад 63 тисячі об'єктів енергетичної інфраструктури, у тому числі 10 ГВт генерувальних потужностей).</w:t>
      </w:r>
    </w:p>
    <w:p>
      <w:pPr>
        <w:pStyle w:val="Normal"/>
        <w:spacing w:lineRule="auto" w:line="240" w:before="0" w:after="0"/>
        <w:ind w:firstLine="567"/>
        <w:jc w:val="both"/>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Д2.3.5. Сфера теплопостачання</w:t>
      </w:r>
    </w:p>
    <w:p>
      <w:pPr>
        <w:pStyle w:val="Normal"/>
        <w:spacing w:before="0" w:after="0"/>
        <w:ind w:firstLine="510"/>
        <w:jc w:val="both"/>
        <w:rPr/>
      </w:pPr>
      <w:r>
        <w:rPr>
          <w:rFonts w:eastAsia="NSimSun" w:cs="Times New Roman" w:ascii="Times New Roman" w:hAnsi="Times New Roman"/>
          <w:kern w:val="2"/>
          <w:sz w:val="24"/>
          <w:szCs w:val="24"/>
          <w:lang w:eastAsia="zh-CN" w:bidi="hi-IN"/>
        </w:rPr>
        <w:t>Надання послуг централізованого постачання тепла та централізованого постачання гарячої води у м. Луцьку здійснює державне комунальне підприємство «Луцьктепло». У старостинських округах Луцької МТГ централізоване теплопостачання та централізоване постачання гарячої води відсутнє.</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Загальна протяжність теплових мереж становить 131,046 км (таблиця </w:t>
      </w:r>
      <w:r>
        <w:rPr>
          <w:rFonts w:eastAsia="NSimSun" w:cs="Times New Roman" w:ascii="Times New Roman" w:hAnsi="Times New Roman"/>
          <w:color w:val="000000"/>
          <w:kern w:val="2"/>
          <w:sz w:val="24"/>
          <w:szCs w:val="24"/>
          <w:lang w:eastAsia="zh-CN" w:bidi="hi-IN"/>
        </w:rPr>
        <w:t>Д2.25.</w:t>
      </w:r>
      <w:r>
        <w:rPr>
          <w:rFonts w:eastAsia="NSimSun" w:cs="Times New Roman" w:ascii="Times New Roman" w:hAnsi="Times New Roman"/>
          <w:kern w:val="2"/>
          <w:sz w:val="24"/>
          <w:szCs w:val="24"/>
          <w:lang w:eastAsia="zh-CN" w:bidi="hi-IN"/>
        </w:rPr>
        <w:t xml:space="preserve">). Постачання теплової енергії до споживачів забезпечується 44 котельнями, 44 ЦТП та 352 ІТП. Сумарна потужність котелень становить 674,311 Гкал/год. На кінець 2024 року кількість котлів (енергоустановок) </w:t>
      </w:r>
      <w:r>
        <w:rPr>
          <w:rFonts w:cs="Times New Roman" w:ascii="Times New Roman" w:hAnsi="Times New Roman"/>
          <w:sz w:val="24"/>
          <w:szCs w:val="24"/>
        </w:rPr>
        <w:t>–</w:t>
      </w:r>
      <w:r>
        <w:rPr>
          <w:rFonts w:eastAsia="NSimSun" w:cs="Times New Roman" w:ascii="Times New Roman" w:hAnsi="Times New Roman"/>
          <w:kern w:val="2"/>
          <w:sz w:val="24"/>
          <w:szCs w:val="24"/>
          <w:lang w:eastAsia="zh-CN" w:bidi="hi-IN"/>
        </w:rPr>
        <w:t xml:space="preserve"> 155 одиниць, з яких 50 або 32 % з терміном експлуатації понад 20 років.</w:t>
      </w:r>
    </w:p>
    <w:p>
      <w:pPr>
        <w:pStyle w:val="Normal"/>
        <w:tabs>
          <w:tab w:val="clear" w:pos="708"/>
          <w:tab w:val="left" w:pos="2925" w:leader="none"/>
        </w:tabs>
        <w:spacing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lang w:eastAsia="zh-CN" w:bidi="hi-IN"/>
        </w:rPr>
        <w:t>Д2.23.</w:t>
      </w:r>
      <w:r>
        <w:rPr>
          <w:rFonts w:eastAsia="NSimSun" w:cs="Times New Roman" w:ascii="Times New Roman" w:hAnsi="Times New Roman"/>
          <w:kern w:val="2"/>
          <w:sz w:val="24"/>
          <w:szCs w:val="24"/>
          <w:lang w:eastAsia="zh-CN" w:bidi="hi-IN"/>
        </w:rPr>
        <w:t> Характеристика мережі теплопостачання (двотрубна система опалення)</w:t>
      </w:r>
    </w:p>
    <w:tbl>
      <w:tblPr>
        <w:tblW w:w="9668" w:type="dxa"/>
        <w:jc w:val="start"/>
        <w:tblInd w:w="187" w:type="dxa"/>
        <w:tblLayout w:type="fixed"/>
        <w:tblCellMar>
          <w:top w:w="0" w:type="dxa"/>
          <w:start w:w="108" w:type="dxa"/>
          <w:bottom w:w="0" w:type="dxa"/>
          <w:end w:w="108" w:type="dxa"/>
        </w:tblCellMar>
        <w:tblLook w:firstRow="1" w:noVBand="1" w:lastRow="0" w:firstColumn="1" w:lastColumn="0" w:noHBand="0" w:val="04a0"/>
      </w:tblPr>
      <w:tblGrid>
        <w:gridCol w:w="3663"/>
        <w:gridCol w:w="2002"/>
        <w:gridCol w:w="1993"/>
        <w:gridCol w:w="2009"/>
      </w:tblGrid>
      <w:tr>
        <w:trPr/>
        <w:tc>
          <w:tcPr>
            <w:tcW w:w="3663" w:type="dxa"/>
            <w:vMerge w:val="restart"/>
            <w:tcBorders>
              <w:top w:val="single" w:sz="2" w:space="0" w:color="000000"/>
              <w:start w:val="single" w:sz="2" w:space="0" w:color="000000"/>
              <w:bottom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Характеристика</w:t>
            </w:r>
          </w:p>
        </w:tc>
        <w:tc>
          <w:tcPr>
            <w:tcW w:w="6004" w:type="dxa"/>
            <w:gridSpan w:val="3"/>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01.01.2025</w:t>
            </w:r>
          </w:p>
        </w:tc>
      </w:tr>
      <w:tr>
        <w:trPr/>
        <w:tc>
          <w:tcPr>
            <w:tcW w:w="3663" w:type="dxa"/>
            <w:vMerge w:val="continue"/>
            <w:tcBorders>
              <w:start w:val="single" w:sz="2" w:space="0" w:color="000000"/>
              <w:bottom w:val="single" w:sz="2"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2002" w:type="dxa"/>
            <w:tcBorders>
              <w:start w:val="single" w:sz="2" w:space="0" w:color="000000"/>
              <w:bottom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Загальна довжина</w:t>
            </w:r>
          </w:p>
        </w:tc>
        <w:tc>
          <w:tcPr>
            <w:tcW w:w="1993" w:type="dxa"/>
            <w:tcBorders>
              <w:start w:val="single" w:sz="2" w:space="0" w:color="000000"/>
              <w:bottom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Попередньо-ізольовані</w:t>
            </w:r>
          </w:p>
        </w:tc>
        <w:tc>
          <w:tcPr>
            <w:tcW w:w="2009" w:type="dxa"/>
            <w:tcBorders>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Інші</w:t>
              <w:br/>
              <w:t>(не утеплені або старе утеплення)</w:t>
            </w:r>
          </w:p>
        </w:tc>
      </w:tr>
      <w:tr>
        <w:trPr/>
        <w:tc>
          <w:tcPr>
            <w:tcW w:w="3663" w:type="dxa"/>
            <w:tcBorders>
              <w:start w:val="single" w:sz="2" w:space="0" w:color="000000"/>
              <w:bottom w:val="single" w:sz="2" w:space="0" w:color="000000"/>
            </w:tcBorders>
          </w:tcPr>
          <w:p>
            <w:pPr>
              <w:pStyle w:val="Normal"/>
              <w:widowControl w:val="false"/>
              <w:spacing w:lineRule="auto" w:line="240" w:before="0" w:after="0"/>
              <w:rPr/>
            </w:pPr>
            <w:r>
              <w:rPr>
                <w:rFonts w:cs="Times New Roman" w:ascii="Times New Roman" w:hAnsi="Times New Roman"/>
                <w:kern w:val="2"/>
                <w:sz w:val="20"/>
                <w:szCs w:val="20"/>
                <w:lang w:bidi="hi-IN"/>
              </w:rPr>
              <w:t>Загальна довжина трубопроводів, км</w:t>
            </w:r>
          </w:p>
        </w:tc>
        <w:tc>
          <w:tcPr>
            <w:tcW w:w="2002" w:type="dxa"/>
            <w:tcBorders>
              <w:start w:val="single" w:sz="2" w:space="0" w:color="000000"/>
              <w:bottom w:val="single" w:sz="2" w:space="0" w:color="000000"/>
            </w:tcBorders>
          </w:tcPr>
          <w:p>
            <w:pPr>
              <w:pStyle w:val="Normal"/>
              <w:widowControl w:val="false"/>
              <w:suppressAutoHyphens w:val="false"/>
              <w:spacing w:lineRule="auto" w:line="240" w:before="0" w:after="0"/>
              <w:jc w:val="center"/>
              <w:rPr/>
            </w:pPr>
            <w:r>
              <w:rPr>
                <w:rFonts w:cs="Times New Roman" w:ascii="Times New Roman" w:hAnsi="Times New Roman"/>
                <w:kern w:val="2"/>
                <w:sz w:val="20"/>
                <w:szCs w:val="20"/>
                <w:lang w:bidi="hi-IN"/>
              </w:rPr>
              <w:t>131</w:t>
            </w:r>
          </w:p>
          <w:p>
            <w:pPr>
              <w:pStyle w:val="Normal"/>
              <w:widowControl w:val="false"/>
              <w:spacing w:lineRule="auto" w:line="240" w:before="0" w:after="0"/>
              <w:jc w:val="center"/>
              <w:rPr>
                <w:rFonts w:ascii="Times New Roman" w:hAnsi="Times New Roman" w:cs="Times New Roman"/>
                <w:kern w:val="2"/>
                <w:sz w:val="20"/>
                <w:szCs w:val="20"/>
                <w:lang w:bidi="hi-IN"/>
              </w:rPr>
            </w:pPr>
            <w:r>
              <w:rPr>
                <w:rFonts w:cs="Times New Roman" w:ascii="Times New Roman" w:hAnsi="Times New Roman"/>
                <w:kern w:val="2"/>
                <w:sz w:val="20"/>
                <w:szCs w:val="20"/>
                <w:lang w:bidi="hi-IN"/>
              </w:rPr>
            </w:r>
          </w:p>
        </w:tc>
        <w:tc>
          <w:tcPr>
            <w:tcW w:w="1993" w:type="dxa"/>
            <w:tcBorders>
              <w:start w:val="single" w:sz="2" w:space="0" w:color="000000"/>
              <w:bottom w:val="single" w:sz="2" w:space="0" w:color="000000"/>
            </w:tcBorders>
          </w:tcPr>
          <w:p>
            <w:pPr>
              <w:pStyle w:val="Normal"/>
              <w:widowControl w:val="false"/>
              <w:suppressAutoHyphens w:val="false"/>
              <w:spacing w:lineRule="auto" w:line="240" w:before="0" w:after="0"/>
              <w:jc w:val="center"/>
              <w:rPr/>
            </w:pPr>
            <w:r>
              <w:rPr>
                <w:rFonts w:cs="Times New Roman" w:ascii="Times New Roman" w:hAnsi="Times New Roman"/>
                <w:kern w:val="2"/>
                <w:sz w:val="20"/>
                <w:szCs w:val="20"/>
                <w:lang w:bidi="hi-IN"/>
              </w:rPr>
              <w:t>17</w:t>
            </w:r>
          </w:p>
        </w:tc>
        <w:tc>
          <w:tcPr>
            <w:tcW w:w="2009" w:type="dxa"/>
            <w:tcBorders>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115</w:t>
            </w:r>
          </w:p>
        </w:tc>
      </w:tr>
      <w:tr>
        <w:trPr/>
        <w:tc>
          <w:tcPr>
            <w:tcW w:w="3663" w:type="dxa"/>
            <w:tcBorders>
              <w:start w:val="single" w:sz="2" w:space="0" w:color="000000"/>
              <w:bottom w:val="single" w:sz="4" w:space="0" w:color="000000"/>
            </w:tcBorders>
          </w:tcPr>
          <w:p>
            <w:pPr>
              <w:pStyle w:val="Normal"/>
              <w:widowControl w:val="false"/>
              <w:spacing w:lineRule="auto" w:line="240" w:before="0" w:after="0"/>
              <w:rPr/>
            </w:pPr>
            <w:r>
              <w:rPr>
                <w:rFonts w:cs="Times New Roman" w:ascii="Times New Roman" w:hAnsi="Times New Roman"/>
                <w:kern w:val="2"/>
                <w:sz w:val="20"/>
                <w:szCs w:val="20"/>
                <w:lang w:bidi="hi-IN"/>
              </w:rPr>
              <w:t>Довжина магістральних трубопроводів, км</w:t>
            </w:r>
          </w:p>
        </w:tc>
        <w:tc>
          <w:tcPr>
            <w:tcW w:w="2002" w:type="dxa"/>
            <w:tcBorders>
              <w:start w:val="single" w:sz="2"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3</w:t>
            </w:r>
          </w:p>
        </w:tc>
        <w:tc>
          <w:tcPr>
            <w:tcW w:w="1993" w:type="dxa"/>
            <w:tcBorders>
              <w:start w:val="single" w:sz="2"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0</w:t>
            </w:r>
          </w:p>
        </w:tc>
        <w:tc>
          <w:tcPr>
            <w:tcW w:w="2009" w:type="dxa"/>
            <w:tcBorders>
              <w:start w:val="single" w:sz="2" w:space="0" w:color="000000"/>
              <w:bottom w:val="single" w:sz="4" w:space="0" w:color="000000"/>
              <w:end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0</w:t>
            </w:r>
          </w:p>
        </w:tc>
      </w:tr>
      <w:tr>
        <w:trPr/>
        <w:tc>
          <w:tcPr>
            <w:tcW w:w="366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cs="Times New Roman" w:ascii="Times New Roman" w:hAnsi="Times New Roman"/>
                <w:kern w:val="2"/>
                <w:sz w:val="20"/>
                <w:szCs w:val="20"/>
                <w:lang w:bidi="hi-IN"/>
              </w:rPr>
              <w:t>Довжина розподільчих трубопроводів, км</w:t>
            </w:r>
          </w:p>
        </w:tc>
        <w:tc>
          <w:tcPr>
            <w:tcW w:w="200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128</w:t>
            </w:r>
          </w:p>
        </w:tc>
        <w:tc>
          <w:tcPr>
            <w:tcW w:w="1993"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false"/>
              <w:spacing w:lineRule="auto" w:line="240" w:before="0" w:after="0"/>
              <w:jc w:val="center"/>
              <w:rPr/>
            </w:pPr>
            <w:r>
              <w:rPr>
                <w:rFonts w:cs="Times New Roman" w:ascii="Times New Roman" w:hAnsi="Times New Roman"/>
                <w:kern w:val="2"/>
                <w:sz w:val="20"/>
                <w:szCs w:val="20"/>
                <w:lang w:bidi="hi-IN"/>
              </w:rPr>
              <w:t>17</w:t>
            </w:r>
          </w:p>
          <w:p>
            <w:pPr>
              <w:pStyle w:val="Normal"/>
              <w:widowControl w:val="false"/>
              <w:spacing w:lineRule="auto" w:line="240" w:before="0" w:after="0"/>
              <w:jc w:val="center"/>
              <w:rPr>
                <w:rFonts w:ascii="Times New Roman" w:hAnsi="Times New Roman" w:cs="Times New Roman"/>
                <w:kern w:val="2"/>
                <w:sz w:val="20"/>
                <w:szCs w:val="20"/>
                <w:lang w:bidi="hi-IN"/>
              </w:rPr>
            </w:pPr>
            <w:r>
              <w:rPr>
                <w:rFonts w:cs="Times New Roman" w:ascii="Times New Roman" w:hAnsi="Times New Roman"/>
                <w:kern w:val="2"/>
                <w:sz w:val="20"/>
                <w:szCs w:val="20"/>
                <w:lang w:bidi="hi-IN"/>
              </w:rPr>
            </w:r>
          </w:p>
        </w:tc>
        <w:tc>
          <w:tcPr>
            <w:tcW w:w="200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111</w:t>
            </w:r>
          </w:p>
        </w:tc>
      </w:tr>
    </w:tbl>
    <w:p>
      <w:pPr>
        <w:pStyle w:val="Normal"/>
        <w:spacing w:lineRule="auto" w:line="240" w:before="0" w:after="0"/>
        <w:ind w:firstLine="567"/>
        <w:jc w:val="both"/>
        <w:rPr/>
      </w:pPr>
      <w:r>
        <w:rPr>
          <w:rFonts w:eastAsia="NSimSun" w:cs="Times New Roman" w:ascii="Times New Roman" w:hAnsi="Times New Roman"/>
          <w:kern w:val="2"/>
          <w:sz w:val="24"/>
          <w:szCs w:val="24"/>
          <w:lang w:eastAsia="de-DE" w:bidi="hi-IN"/>
        </w:rPr>
        <w:t>В Луцьку є 2 основні зони теплопостачання:</w:t>
      </w:r>
    </w:p>
    <w:p>
      <w:pPr>
        <w:pStyle w:val="2"/>
        <w:tabs>
          <w:tab w:val="clear" w:pos="708"/>
          <w:tab w:val="left" w:pos="0" w:leader="none"/>
        </w:tabs>
        <w:spacing w:before="0" w:after="0"/>
        <w:ind w:firstLine="567" w:start="0"/>
        <w:contextualSpacing w:val="false"/>
        <w:jc w:val="both"/>
        <w:rPr>
          <w:lang w:val="uk-UA"/>
        </w:rPr>
      </w:pPr>
      <w:r>
        <w:rPr>
          <w:rFonts w:eastAsia="Microsoft Sans Serif"/>
          <w:kern w:val="2"/>
          <w:lang w:val="uk-UA" w:eastAsia="de-DE"/>
        </w:rPr>
        <w:t>1) централізоване – зона багатоквартирної забудови;</w:t>
      </w:r>
    </w:p>
    <w:p>
      <w:pPr>
        <w:pStyle w:val="2"/>
        <w:tabs>
          <w:tab w:val="clear" w:pos="708"/>
          <w:tab w:val="left" w:pos="0" w:leader="none"/>
        </w:tabs>
        <w:spacing w:before="0" w:after="0"/>
        <w:ind w:firstLine="567" w:start="0"/>
        <w:contextualSpacing w:val="false"/>
        <w:jc w:val="both"/>
        <w:rPr>
          <w:lang w:val="uk-UA"/>
        </w:rPr>
      </w:pPr>
      <w:r>
        <w:rPr>
          <w:rFonts w:eastAsia="Microsoft Sans Serif"/>
          <w:kern w:val="2"/>
          <w:lang w:val="uk-UA" w:eastAsia="de-DE"/>
        </w:rPr>
        <w:t>2) індивідуальне – зона забудови садибного типу та багатоквартирні будинки з індивідуальним теплопостачанням.</w:t>
      </w:r>
    </w:p>
    <w:p>
      <w:pPr>
        <w:pStyle w:val="Normal"/>
        <w:spacing w:before="0" w:after="0"/>
        <w:ind w:firstLine="567"/>
        <w:jc w:val="both"/>
        <w:rPr/>
      </w:pPr>
      <w:r>
        <w:rPr>
          <w:rFonts w:eastAsia="NSimSun" w:cs="Times New Roman" w:ascii="Times New Roman" w:hAnsi="Times New Roman"/>
          <w:kern w:val="2"/>
          <w:sz w:val="24"/>
          <w:szCs w:val="24"/>
          <w:lang w:eastAsia="de-DE" w:bidi="hi-IN"/>
        </w:rPr>
        <w:t xml:space="preserve">Окремо можна виділити промислові зони з автономним теплозабезпеченням. У садибній забудові використовується індивідуальне теплотехнічне обладнання, де в якості основного палива використовується природний газ. Централізоване теплопостачання покриває переважно зону багатоквартирної забудови. </w:t>
      </w:r>
    </w:p>
    <w:p>
      <w:pPr>
        <w:pStyle w:val="Normal"/>
        <w:spacing w:before="0" w:after="0"/>
        <w:ind w:firstLine="567"/>
        <w:jc w:val="both"/>
        <w:rPr/>
      </w:pPr>
      <w:r>
        <w:rPr>
          <w:rFonts w:eastAsia="NSimSun" w:cs="Times New Roman" w:ascii="Times New Roman" w:hAnsi="Times New Roman"/>
          <w:kern w:val="2"/>
          <w:sz w:val="24"/>
          <w:szCs w:val="24"/>
          <w:lang w:eastAsia="de-DE" w:bidi="hi-IN"/>
        </w:rPr>
        <w:t>Наразі в зоні нової багатоквартирної забудови використовується індивідуальне опалення. Ця тенденція в основному пов’язана з вартістю послуг на централізоване опалення та постачання гарячої води.</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Станом на 01.01.2025 ДКП «Луцьктепло» надає послуги:</w:t>
      </w:r>
    </w:p>
    <w:p>
      <w:pPr>
        <w:pStyle w:val="Normal"/>
        <w:numPr>
          <w:ilvl w:val="0"/>
          <w:numId w:val="2"/>
        </w:numPr>
        <w:tabs>
          <w:tab w:val="clear" w:pos="708"/>
          <w:tab w:val="left" w:pos="851" w:leader="none"/>
        </w:tabs>
        <w:spacing w:before="0" w:after="0"/>
        <w:ind w:firstLine="567" w:start="0"/>
        <w:jc w:val="both"/>
        <w:rPr/>
      </w:pPr>
      <w:r>
        <w:rPr>
          <w:rFonts w:eastAsia="NSimSun" w:cs="Times New Roman" w:ascii="Times New Roman" w:hAnsi="Times New Roman"/>
          <w:color w:val="000000"/>
          <w:kern w:val="2"/>
          <w:sz w:val="24"/>
          <w:szCs w:val="24"/>
          <w:shd w:fill="FFFFFF" w:val="clear"/>
          <w:lang w:bidi="hi-IN"/>
        </w:rPr>
        <w:t xml:space="preserve">населенню (постачання теплової енергії </w:t>
      </w:r>
      <w:r>
        <w:rPr>
          <w:rFonts w:cs="Times New Roman" w:ascii="Times New Roman" w:hAnsi="Times New Roman"/>
          <w:color w:val="000000"/>
          <w:sz w:val="24"/>
          <w:szCs w:val="24"/>
          <w:shd w:fill="FFFFFF" w:val="clear"/>
        </w:rPr>
        <w:t>–</w:t>
      </w:r>
      <w:r>
        <w:rPr>
          <w:rFonts w:eastAsia="NSimSun" w:cs="Times New Roman" w:ascii="Times New Roman" w:hAnsi="Times New Roman"/>
          <w:color w:val="000000"/>
          <w:kern w:val="2"/>
          <w:sz w:val="24"/>
          <w:szCs w:val="24"/>
          <w:shd w:fill="FFFFFF" w:val="clear"/>
          <w:lang w:bidi="hi-IN"/>
        </w:rPr>
        <w:t xml:space="preserve"> 54711 абонентам у 747 житлових будинках та постачання гарячої води </w:t>
      </w:r>
      <w:r>
        <w:rPr>
          <w:rFonts w:cs="Times New Roman" w:ascii="Times New Roman" w:hAnsi="Times New Roman"/>
          <w:color w:val="000000"/>
          <w:sz w:val="24"/>
          <w:szCs w:val="24"/>
          <w:shd w:fill="FFFFFF" w:val="clear"/>
        </w:rPr>
        <w:t>–</w:t>
      </w:r>
      <w:r>
        <w:rPr>
          <w:rFonts w:eastAsia="NSimSun" w:cs="Times New Roman" w:ascii="Times New Roman" w:hAnsi="Times New Roman"/>
          <w:color w:val="000000"/>
          <w:kern w:val="2"/>
          <w:sz w:val="24"/>
          <w:szCs w:val="24"/>
          <w:shd w:fill="FFFFFF" w:val="clear"/>
          <w:lang w:bidi="hi-IN"/>
        </w:rPr>
        <w:t xml:space="preserve"> 39597 абонентам у 473 житлових будинках);</w:t>
      </w:r>
    </w:p>
    <w:p>
      <w:pPr>
        <w:pStyle w:val="Normal"/>
        <w:numPr>
          <w:ilvl w:val="0"/>
          <w:numId w:val="2"/>
        </w:numPr>
        <w:tabs>
          <w:tab w:val="clear" w:pos="708"/>
          <w:tab w:val="left" w:pos="851" w:leader="none"/>
        </w:tabs>
        <w:spacing w:before="0" w:after="0"/>
        <w:ind w:firstLine="567" w:start="0"/>
        <w:jc w:val="both"/>
        <w:rPr/>
      </w:pPr>
      <w:r>
        <w:rPr>
          <w:rFonts w:eastAsia="NSimSun" w:cs="Times New Roman" w:ascii="Times New Roman" w:hAnsi="Times New Roman"/>
          <w:color w:val="000000"/>
          <w:kern w:val="2"/>
          <w:sz w:val="24"/>
          <w:szCs w:val="24"/>
          <w:shd w:fill="FFFFFF" w:val="clear"/>
          <w:lang w:bidi="hi-IN"/>
        </w:rPr>
        <w:t xml:space="preserve">юридичним особам (теплова енергія </w:t>
      </w:r>
      <w:r>
        <w:rPr>
          <w:rFonts w:cs="Times New Roman" w:ascii="Times New Roman" w:hAnsi="Times New Roman"/>
          <w:color w:val="000000"/>
          <w:sz w:val="24"/>
          <w:szCs w:val="24"/>
          <w:shd w:fill="FFFFFF" w:val="clear"/>
        </w:rPr>
        <w:t>–</w:t>
      </w:r>
      <w:r>
        <w:rPr>
          <w:rFonts w:eastAsia="NSimSun" w:cs="Times New Roman" w:ascii="Times New Roman" w:hAnsi="Times New Roman"/>
          <w:color w:val="000000"/>
          <w:kern w:val="2"/>
          <w:sz w:val="24"/>
          <w:szCs w:val="24"/>
          <w:shd w:fill="FFFFFF" w:val="clear"/>
          <w:lang w:bidi="hi-IN"/>
        </w:rPr>
        <w:t xml:space="preserve"> 1323 споживачам та постачання гарячої води –  395 споживачам).</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З 747 житлових будинків, засобами обліку теплової енергії обладнані 722 або 96,65 % усієї кількості та 99,54 % загальної опалювальної площі (загальна опалювальна площа </w:t>
      </w:r>
      <w:r>
        <w:rPr>
          <w:rFonts w:eastAsia="NSimSun" w:cs="Times New Roman" w:ascii="Times New Roman" w:hAnsi="Times New Roman"/>
          <w:color w:val="000000"/>
          <w:kern w:val="2"/>
          <w:sz w:val="24"/>
          <w:szCs w:val="24"/>
          <w:shd w:fill="FFFFFF" w:val="clear"/>
          <w:lang w:eastAsia="de-DE" w:bidi="hi-IN"/>
        </w:rPr>
        <w:t>–</w:t>
      </w:r>
      <w:r>
        <w:rPr>
          <w:rFonts w:eastAsia="NSimSun" w:cs="Times New Roman" w:ascii="Times New Roman" w:hAnsi="Times New Roman"/>
          <w:color w:val="000000"/>
          <w:kern w:val="2"/>
          <w:sz w:val="24"/>
          <w:szCs w:val="24"/>
          <w:shd w:fill="FFFFFF" w:val="clear"/>
          <w:lang w:eastAsia="zh-CN" w:bidi="hi-IN"/>
        </w:rPr>
        <w:t xml:space="preserve"> 2608383,21 м</w:t>
      </w:r>
      <w:r>
        <w:rPr>
          <w:rFonts w:eastAsia="NSimSun" w:cs="Times New Roman" w:ascii="Times New Roman" w:hAnsi="Times New Roman"/>
          <w:color w:val="000000"/>
          <w:kern w:val="2"/>
          <w:sz w:val="24"/>
          <w:szCs w:val="24"/>
          <w:shd w:fill="FFFFFF" w:val="clear"/>
          <w:vertAlign w:val="superscript"/>
          <w:lang w:eastAsia="zh-CN" w:bidi="hi-IN"/>
        </w:rPr>
        <w:t>2</w:t>
      </w:r>
      <w:r>
        <w:rPr>
          <w:rFonts w:eastAsia="NSimSun" w:cs="Times New Roman" w:ascii="Times New Roman" w:hAnsi="Times New Roman"/>
          <w:color w:val="000000"/>
          <w:kern w:val="2"/>
          <w:sz w:val="24"/>
          <w:szCs w:val="24"/>
          <w:shd w:fill="FFFFFF" w:val="clear"/>
          <w:lang w:eastAsia="zh-CN" w:bidi="hi-IN"/>
        </w:rPr>
        <w:t xml:space="preserve">).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Транспортування теплової енергії до споживача відбувається тепловими мережами двотрубного типу (таблиця Д2.24.), що прокладені переважно підземно-канальним способом в непрохідних залізобетонних лотках (128 км) та тепловими мережами надземного способу прокладання (3 км). </w:t>
      </w:r>
    </w:p>
    <w:p>
      <w:pPr>
        <w:pStyle w:val="Normal"/>
        <w:spacing w:lineRule="auto" w:line="240"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lang w:eastAsia="zh-CN" w:bidi="hi-IN"/>
        </w:rPr>
        <w:t>Д2.24.</w:t>
      </w:r>
      <w:r>
        <w:rPr>
          <w:rFonts w:eastAsia="NSimSun" w:cs="Times New Roman" w:ascii="Times New Roman" w:hAnsi="Times New Roman"/>
          <w:kern w:val="2"/>
          <w:sz w:val="24"/>
          <w:szCs w:val="24"/>
          <w:lang w:eastAsia="zh-CN" w:bidi="hi-IN"/>
        </w:rPr>
        <w:t> За типом прокладання трубопроводів в двотрубному обчислені</w:t>
      </w:r>
    </w:p>
    <w:tbl>
      <w:tblPr>
        <w:tblW w:w="9630" w:type="dxa"/>
        <w:jc w:val="start"/>
        <w:tblInd w:w="226" w:type="dxa"/>
        <w:tblLayout w:type="fixed"/>
        <w:tblCellMar>
          <w:top w:w="0" w:type="dxa"/>
          <w:start w:w="108" w:type="dxa"/>
          <w:bottom w:w="0" w:type="dxa"/>
          <w:end w:w="108" w:type="dxa"/>
        </w:tblCellMar>
        <w:tblLook w:firstRow="1" w:noVBand="1" w:lastRow="0" w:firstColumn="1" w:lastColumn="0" w:noHBand="0" w:val="04a0"/>
      </w:tblPr>
      <w:tblGrid>
        <w:gridCol w:w="7599"/>
        <w:gridCol w:w="2030"/>
      </w:tblGrid>
      <w:tr>
        <w:trPr/>
        <w:tc>
          <w:tcPr>
            <w:tcW w:w="7599" w:type="dxa"/>
            <w:tcBorders>
              <w:top w:val="single" w:sz="2" w:space="0" w:color="000000"/>
              <w:start w:val="single" w:sz="2" w:space="0" w:color="000000"/>
              <w:bottom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Характеристика</w:t>
            </w:r>
          </w:p>
        </w:tc>
        <w:tc>
          <w:tcPr>
            <w:tcW w:w="2030"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2025</w:t>
            </w:r>
          </w:p>
        </w:tc>
      </w:tr>
      <w:tr>
        <w:trPr/>
        <w:tc>
          <w:tcPr>
            <w:tcW w:w="7599" w:type="dxa"/>
            <w:tcBorders>
              <w:start w:val="single" w:sz="2" w:space="0" w:color="000000"/>
              <w:bottom w:val="single" w:sz="2" w:space="0" w:color="000000"/>
            </w:tcBorders>
          </w:tcPr>
          <w:p>
            <w:pPr>
              <w:pStyle w:val="Normal"/>
              <w:widowControl w:val="false"/>
              <w:spacing w:lineRule="auto" w:line="240" w:before="0" w:after="0"/>
              <w:rPr/>
            </w:pPr>
            <w:r>
              <w:rPr>
                <w:rFonts w:cs="Times New Roman" w:ascii="Times New Roman" w:hAnsi="Times New Roman"/>
                <w:kern w:val="2"/>
                <w:sz w:val="20"/>
                <w:szCs w:val="20"/>
                <w:lang w:bidi="hi-IN"/>
              </w:rPr>
              <w:t>Трубопроводи підземного прокладення в каналах, км</w:t>
            </w:r>
          </w:p>
        </w:tc>
        <w:tc>
          <w:tcPr>
            <w:tcW w:w="2030" w:type="dxa"/>
            <w:tcBorders>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128</w:t>
            </w:r>
          </w:p>
        </w:tc>
      </w:tr>
      <w:tr>
        <w:trPr/>
        <w:tc>
          <w:tcPr>
            <w:tcW w:w="7599" w:type="dxa"/>
            <w:tcBorders>
              <w:start w:val="single" w:sz="2" w:space="0" w:color="000000"/>
              <w:bottom w:val="single" w:sz="2" w:space="0" w:color="000000"/>
            </w:tcBorders>
          </w:tcPr>
          <w:p>
            <w:pPr>
              <w:pStyle w:val="Normal"/>
              <w:widowControl w:val="false"/>
              <w:spacing w:lineRule="auto" w:line="240" w:before="0" w:after="0"/>
              <w:rPr/>
            </w:pPr>
            <w:r>
              <w:rPr>
                <w:rFonts w:cs="Times New Roman" w:ascii="Times New Roman" w:hAnsi="Times New Roman"/>
                <w:kern w:val="2"/>
                <w:sz w:val="20"/>
                <w:szCs w:val="20"/>
                <w:lang w:bidi="hi-IN"/>
              </w:rPr>
              <w:t>Трубопроводи повітряного розведення, км</w:t>
            </w:r>
          </w:p>
        </w:tc>
        <w:tc>
          <w:tcPr>
            <w:tcW w:w="2030" w:type="dxa"/>
            <w:tcBorders>
              <w:start w:val="single" w:sz="2" w:space="0" w:color="000000"/>
              <w:bottom w:val="single" w:sz="2" w:space="0" w:color="000000"/>
              <w:end w:val="single" w:sz="2" w:space="0" w:color="000000"/>
            </w:tcBorders>
          </w:tcPr>
          <w:p>
            <w:pPr>
              <w:pStyle w:val="Normal"/>
              <w:widowControl w:val="false"/>
              <w:suppressAutoHyphens w:val="false"/>
              <w:spacing w:lineRule="auto" w:line="240" w:before="0" w:after="0"/>
              <w:jc w:val="center"/>
              <w:rPr/>
            </w:pPr>
            <w:r>
              <w:rPr>
                <w:rFonts w:cs="Times New Roman" w:ascii="Times New Roman" w:hAnsi="Times New Roman"/>
                <w:kern w:val="2"/>
                <w:sz w:val="20"/>
                <w:szCs w:val="20"/>
                <w:lang w:bidi="hi-IN"/>
              </w:rPr>
              <w:t>3</w:t>
            </w:r>
          </w:p>
        </w:tc>
      </w:tr>
    </w:tbl>
    <w:p>
      <w:pPr>
        <w:pStyle w:val="Normal"/>
        <w:spacing w:lineRule="auto" w:line="240" w:before="0" w:after="0"/>
        <w:ind w:firstLine="510"/>
        <w:jc w:val="both"/>
        <w:rPr/>
      </w:pPr>
      <w:r>
        <w:rPr>
          <w:rFonts w:eastAsia="NSimSun" w:cs="Times New Roman" w:ascii="Times New Roman" w:hAnsi="Times New Roman"/>
          <w:kern w:val="2"/>
          <w:sz w:val="24"/>
          <w:szCs w:val="24"/>
          <w:lang w:eastAsia="zh-CN" w:bidi="hi-IN"/>
        </w:rPr>
        <w:t xml:space="preserve">У таблиці </w:t>
      </w:r>
      <w:r>
        <w:rPr>
          <w:rFonts w:eastAsia="NSimSun" w:cs="Times New Roman" w:ascii="Times New Roman" w:hAnsi="Times New Roman"/>
          <w:color w:val="000000"/>
          <w:kern w:val="2"/>
          <w:sz w:val="24"/>
          <w:szCs w:val="24"/>
          <w:lang w:eastAsia="zh-CN" w:bidi="hi-IN"/>
        </w:rPr>
        <w:t>Д2.25.</w:t>
      </w:r>
      <w:r>
        <w:rPr>
          <w:rFonts w:eastAsia="NSimSun" w:cs="Times New Roman" w:ascii="Times New Roman" w:hAnsi="Times New Roman"/>
          <w:kern w:val="2"/>
          <w:sz w:val="24"/>
          <w:szCs w:val="24"/>
          <w:lang w:eastAsia="zh-CN" w:bidi="hi-IN"/>
        </w:rPr>
        <w:t xml:space="preserve"> показано обсяги </w:t>
      </w:r>
      <w:r>
        <w:rPr>
          <w:rFonts w:cs="Times New Roman" w:ascii="Times New Roman" w:hAnsi="Times New Roman"/>
          <w:kern w:val="2"/>
          <w:sz w:val="24"/>
          <w:szCs w:val="24"/>
          <w:lang w:bidi="hi-IN"/>
        </w:rPr>
        <w:t>заміни трубопроводів на попередньо ізольовані в двотрубному обчислені.</w:t>
      </w:r>
    </w:p>
    <w:p>
      <w:pPr>
        <w:pStyle w:val="Normal"/>
        <w:spacing w:lineRule="auto" w:line="240" w:before="0" w:after="0"/>
        <w:ind w:firstLine="510"/>
        <w:jc w:val="center"/>
        <w:rPr/>
      </w:pPr>
      <w:r>
        <w:rPr>
          <w:rFonts w:cs="Times New Roman" w:ascii="Times New Roman" w:hAnsi="Times New Roman"/>
          <w:kern w:val="2"/>
          <w:sz w:val="24"/>
          <w:szCs w:val="24"/>
          <w:lang w:bidi="hi-IN"/>
        </w:rPr>
        <w:t xml:space="preserve">Таблиця </w:t>
      </w:r>
      <w:r>
        <w:rPr>
          <w:rFonts w:eastAsia="NSimSun" w:cs="Times New Roman" w:ascii="Times New Roman" w:hAnsi="Times New Roman"/>
          <w:color w:val="000000"/>
          <w:kern w:val="2"/>
          <w:sz w:val="24"/>
          <w:szCs w:val="24"/>
          <w:lang w:eastAsia="zh-CN" w:bidi="hi-IN"/>
        </w:rPr>
        <w:t>Д2.25.</w:t>
      </w:r>
      <w:r>
        <w:rPr>
          <w:rFonts w:cs="Times New Roman" w:ascii="Times New Roman" w:hAnsi="Times New Roman"/>
          <w:kern w:val="2"/>
          <w:sz w:val="24"/>
          <w:szCs w:val="24"/>
          <w:lang w:bidi="hi-IN"/>
        </w:rPr>
        <w:t> Обсяги заміни трубопроводів на попередньо ізольовані в двотрубному обчислені</w:t>
      </w:r>
    </w:p>
    <w:tbl>
      <w:tblPr>
        <w:tblW w:w="9533" w:type="dxa"/>
        <w:jc w:val="start"/>
        <w:tblInd w:w="242" w:type="dxa"/>
        <w:tblLayout w:type="fixed"/>
        <w:tblCellMar>
          <w:top w:w="0" w:type="dxa"/>
          <w:start w:w="108" w:type="dxa"/>
          <w:bottom w:w="0" w:type="dxa"/>
          <w:end w:w="108" w:type="dxa"/>
        </w:tblCellMar>
        <w:tblLook w:firstRow="1" w:noVBand="1" w:lastRow="0" w:firstColumn="1" w:lastColumn="0" w:noHBand="0" w:val="04a0"/>
      </w:tblPr>
      <w:tblGrid>
        <w:gridCol w:w="4668"/>
        <w:gridCol w:w="1620"/>
        <w:gridCol w:w="1624"/>
        <w:gridCol w:w="1620"/>
      </w:tblGrid>
      <w:tr>
        <w:trPr/>
        <w:tc>
          <w:tcPr>
            <w:tcW w:w="4668" w:type="dxa"/>
            <w:tcBorders>
              <w:top w:val="single" w:sz="2" w:space="0" w:color="000000"/>
              <w:start w:val="single" w:sz="2" w:space="0" w:color="000000"/>
              <w:bottom w:val="single" w:sz="2" w:space="0" w:color="000000"/>
            </w:tcBorders>
          </w:tcPr>
          <w:p>
            <w:pPr>
              <w:pStyle w:val="Normal"/>
              <w:widowControl w:val="false"/>
              <w:spacing w:lineRule="auto" w:line="240" w:before="0" w:after="0"/>
              <w:rPr>
                <w:rFonts w:ascii="Times New Roman" w:hAnsi="Times New Roman" w:cs="Times New Roman"/>
                <w:kern w:val="2"/>
                <w:sz w:val="20"/>
                <w:szCs w:val="20"/>
                <w:lang w:bidi="hi-IN"/>
              </w:rPr>
            </w:pPr>
            <w:r>
              <w:rPr>
                <w:rFonts w:cs="Times New Roman" w:ascii="Times New Roman" w:hAnsi="Times New Roman"/>
                <w:kern w:val="2"/>
                <w:sz w:val="20"/>
                <w:szCs w:val="20"/>
                <w:lang w:bidi="hi-IN"/>
              </w:rPr>
            </w:r>
          </w:p>
        </w:tc>
        <w:tc>
          <w:tcPr>
            <w:tcW w:w="1620" w:type="dxa"/>
            <w:tcBorders>
              <w:top w:val="single" w:sz="2" w:space="0" w:color="000000"/>
              <w:start w:val="single" w:sz="2" w:space="0" w:color="000000"/>
              <w:bottom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2015-2019</w:t>
            </w:r>
          </w:p>
        </w:tc>
        <w:tc>
          <w:tcPr>
            <w:tcW w:w="1624" w:type="dxa"/>
            <w:tcBorders>
              <w:top w:val="single" w:sz="2" w:space="0" w:color="000000"/>
              <w:start w:val="single" w:sz="2" w:space="0" w:color="000000"/>
              <w:bottom w:val="single" w:sz="2" w:space="0" w:color="000000"/>
            </w:tcBorders>
          </w:tcPr>
          <w:p>
            <w:pPr>
              <w:pStyle w:val="Normal"/>
              <w:widowControl w:val="false"/>
              <w:spacing w:lineRule="auto" w:line="240" w:before="0" w:after="0"/>
              <w:jc w:val="center"/>
              <w:rPr/>
            </w:pPr>
            <w:r>
              <w:rPr>
                <w:rFonts w:cs="Times New Roman" w:ascii="Times New Roman" w:hAnsi="Times New Roman"/>
                <w:kern w:val="2"/>
                <w:sz w:val="20"/>
                <w:szCs w:val="20"/>
                <w:lang w:bidi="hi-IN"/>
              </w:rPr>
              <w:t>2020-2022</w:t>
            </w:r>
          </w:p>
        </w:tc>
        <w:tc>
          <w:tcPr>
            <w:tcW w:w="1620"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jc w:val="center"/>
              <w:rPr/>
            </w:pPr>
            <w:r>
              <w:rPr>
                <w:rFonts w:ascii="Times New Roman" w:hAnsi="Times New Roman"/>
                <w:sz w:val="20"/>
                <w:szCs w:val="20"/>
              </w:rPr>
              <w:t>2023-2024</w:t>
            </w:r>
          </w:p>
        </w:tc>
      </w:tr>
      <w:tr>
        <w:trPr/>
        <w:tc>
          <w:tcPr>
            <w:tcW w:w="4668" w:type="dxa"/>
            <w:tcBorders>
              <w:start w:val="single" w:sz="2" w:space="0" w:color="000000"/>
              <w:bottom w:val="single" w:sz="2" w:space="0" w:color="000000"/>
            </w:tcBorders>
          </w:tcPr>
          <w:p>
            <w:pPr>
              <w:pStyle w:val="Normal"/>
              <w:widowControl w:val="false"/>
              <w:spacing w:lineRule="auto" w:line="240" w:before="0" w:after="0"/>
              <w:rPr/>
            </w:pPr>
            <w:r>
              <w:rPr>
                <w:rFonts w:cs="Times New Roman" w:ascii="Times New Roman" w:hAnsi="Times New Roman"/>
                <w:kern w:val="2"/>
                <w:sz w:val="20"/>
                <w:szCs w:val="20"/>
                <w:lang w:bidi="hi-IN"/>
              </w:rPr>
              <w:t>Обсяги заміни трубопроводів на попередньо ізольовані, тис. м.п.</w:t>
            </w:r>
          </w:p>
        </w:tc>
        <w:tc>
          <w:tcPr>
            <w:tcW w:w="1620" w:type="dxa"/>
            <w:tcBorders>
              <w:start w:val="single" w:sz="2" w:space="0" w:color="000000"/>
              <w:bottom w:val="single" w:sz="2" w:space="0" w:color="000000"/>
            </w:tcBorders>
            <w:vAlign w:val="center"/>
          </w:tcPr>
          <w:p>
            <w:pPr>
              <w:pStyle w:val="Normal"/>
              <w:widowControl w:val="false"/>
              <w:suppressAutoHyphens w:val="false"/>
              <w:spacing w:lineRule="auto" w:line="240" w:before="0" w:after="0"/>
              <w:jc w:val="center"/>
              <w:rPr/>
            </w:pPr>
            <w:r>
              <w:rPr>
                <w:rFonts w:cs="Times New Roman" w:ascii="Times New Roman" w:hAnsi="Times New Roman"/>
                <w:kern w:val="2"/>
                <w:sz w:val="20"/>
                <w:szCs w:val="20"/>
                <w:lang w:bidi="hi-IN"/>
              </w:rPr>
              <w:t>9,2</w:t>
            </w:r>
          </w:p>
        </w:tc>
        <w:tc>
          <w:tcPr>
            <w:tcW w:w="1624" w:type="dxa"/>
            <w:tcBorders>
              <w:start w:val="single" w:sz="2" w:space="0" w:color="000000"/>
              <w:bottom w:val="single" w:sz="2" w:space="0" w:color="000000"/>
            </w:tcBorders>
            <w:vAlign w:val="center"/>
          </w:tcPr>
          <w:p>
            <w:pPr>
              <w:pStyle w:val="Normal"/>
              <w:widowControl w:val="false"/>
              <w:suppressAutoHyphens w:val="false"/>
              <w:spacing w:lineRule="auto" w:line="240" w:before="0" w:after="0"/>
              <w:jc w:val="center"/>
              <w:rPr/>
            </w:pPr>
            <w:r>
              <w:rPr>
                <w:rFonts w:cs="Times New Roman" w:ascii="Times New Roman" w:hAnsi="Times New Roman"/>
                <w:kern w:val="2"/>
                <w:sz w:val="20"/>
                <w:szCs w:val="20"/>
                <w:lang w:bidi="hi-IN"/>
              </w:rPr>
              <w:t>0,3</w:t>
            </w:r>
          </w:p>
        </w:tc>
        <w:tc>
          <w:tcPr>
            <w:tcW w:w="1620" w:type="dxa"/>
            <w:tcBorders>
              <w:start w:val="single" w:sz="2" w:space="0" w:color="000000"/>
              <w:bottom w:val="single" w:sz="2" w:space="0" w:color="000000"/>
              <w:end w:val="single" w:sz="2" w:space="0" w:color="000000"/>
            </w:tcBorders>
            <w:vAlign w:val="center"/>
          </w:tcPr>
          <w:p>
            <w:pPr>
              <w:pStyle w:val="Normal"/>
              <w:widowControl w:val="false"/>
              <w:suppressAutoHyphens w:val="false"/>
              <w:spacing w:lineRule="auto" w:line="240" w:before="0" w:after="0"/>
              <w:jc w:val="center"/>
              <w:rPr/>
            </w:pPr>
            <w:r>
              <w:rPr>
                <w:rFonts w:ascii="Times New Roman" w:hAnsi="Times New Roman"/>
                <w:sz w:val="20"/>
                <w:szCs w:val="20"/>
              </w:rPr>
              <w:t>9,1</w:t>
            </w:r>
          </w:p>
        </w:tc>
      </w:tr>
    </w:tbl>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На рисунку Д2.17.  можна побачити схему теплопостачання у м. Луцьку.</w:t>
      </w:r>
    </w:p>
    <w:p>
      <w:pPr>
        <w:pStyle w:val="Normal"/>
        <w:spacing w:lineRule="auto" w:line="240" w:before="0" w:after="0"/>
        <w:jc w:val="center"/>
        <w:rPr/>
      </w:pPr>
      <w:r>
        <w:rPr/>
        <w:drawing>
          <wp:inline distT="0" distB="0" distL="0" distR="0">
            <wp:extent cx="6110605" cy="6418580"/>
            <wp:effectExtent l="0" t="0" r="0" b="0"/>
            <wp:docPr id="45" name="Рисунок 64 копія 1" descr="C:\Users\Administrator\AppData\Local\Microsoft\Windows\INetCache\Content.Word\ГП_ГАЗ_ТА_ТЕПЛО_compressed_page-0001.jpg"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64 копія 1" descr="C:\Users\Administrator\AppData\Local\Microsoft\Windows\INetCache\Content.Word\ГП_ГАЗ_ТА_ТЕПЛО_compressed_page-0001.jpg" title=""/>
                    <pic:cNvPicPr>
                      <a:picLocks noChangeAspect="1" noChangeArrowheads="1"/>
                    </pic:cNvPicPr>
                  </pic:nvPicPr>
                  <pic:blipFill>
                    <a:blip r:embed="rId81"/>
                    <a:stretch>
                      <a:fillRect/>
                    </a:stretch>
                  </pic:blipFill>
                  <pic:spPr bwMode="auto">
                    <a:xfrm>
                      <a:off x="0" y="0"/>
                      <a:ext cx="6110605" cy="6418580"/>
                    </a:xfrm>
                    <a:prstGeom prst="rect">
                      <a:avLst/>
                    </a:prstGeom>
                  </pic:spPr>
                </pic:pic>
              </a:graphicData>
            </a:graphic>
          </wp:inline>
        </w:drawing>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jc w:val="center"/>
        <w:rPr/>
      </w:pPr>
      <w:r>
        <w:rPr>
          <w:rFonts w:eastAsia="NSimSun" w:cs="Times New Roman" w:ascii="Times New Roman" w:hAnsi="Times New Roman"/>
          <w:kern w:val="2"/>
          <w:sz w:val="24"/>
          <w:szCs w:val="24"/>
          <w:shd w:fill="FFFFFF" w:val="clear"/>
          <w:lang w:eastAsia="ru-RU" w:bidi="hi-IN"/>
        </w:rPr>
        <w:t xml:space="preserve">Рисунок </w:t>
      </w:r>
      <w:r>
        <w:rPr>
          <w:rFonts w:eastAsia="NSimSun" w:cs="Times New Roman" w:ascii="Times New Roman" w:hAnsi="Times New Roman"/>
          <w:color w:val="000000"/>
          <w:kern w:val="2"/>
          <w:sz w:val="24"/>
          <w:szCs w:val="24"/>
          <w:shd w:fill="FFFFFF" w:val="clear"/>
          <w:lang w:eastAsia="zh-CN" w:bidi="hi-IN"/>
        </w:rPr>
        <w:t>Д2.</w:t>
      </w:r>
      <w:r>
        <w:rPr>
          <w:rFonts w:eastAsia="NSimSun" w:cs="Times New Roman" w:ascii="Times New Roman" w:hAnsi="Times New Roman"/>
          <w:kern w:val="2"/>
          <w:sz w:val="24"/>
          <w:szCs w:val="24"/>
          <w:shd w:fill="FFFFFF" w:val="clear"/>
          <w:lang w:eastAsia="ru-RU" w:bidi="hi-IN"/>
        </w:rPr>
        <w:t>17. Схема теплопостачання м. Луцька</w:t>
      </w:r>
    </w:p>
    <w:p>
      <w:pPr>
        <w:pStyle w:val="Normal"/>
        <w:spacing w:before="0" w:after="0"/>
        <w:ind w:firstLine="567"/>
        <w:jc w:val="both"/>
        <w:rPr>
          <w:color w:val="000000"/>
          <w:shd w:fill="FFFFFF" w:val="clear"/>
        </w:rPr>
      </w:pPr>
      <w:r>
        <w:rPr>
          <w:color w:val="000000"/>
          <w:shd w:fill="FFFFFF" w:val="clear"/>
        </w:rPr>
      </w:r>
    </w:p>
    <w:p>
      <w:pPr>
        <w:pStyle w:val="Normal"/>
        <w:spacing w:before="0" w:after="0"/>
        <w:ind w:firstLine="567"/>
        <w:jc w:val="both"/>
        <w:rPr>
          <w:color w:val="000000"/>
          <w:shd w:fill="FFFFFF" w:val="clear"/>
        </w:rPr>
      </w:pPr>
      <w:r>
        <w:rPr>
          <w:color w:val="000000"/>
          <w:shd w:fill="FFFFFF" w:val="clear"/>
        </w:rPr>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Інформація про кількість виробленої теплової енергії ДКП «Луцьктепло» зазначена у таблиці </w:t>
      </w:r>
      <w:r>
        <w:rPr>
          <w:rFonts w:eastAsia="NSimSun" w:cs="Times New Roman" w:ascii="Times New Roman" w:hAnsi="Times New Roman"/>
          <w:color w:val="000000"/>
          <w:kern w:val="2"/>
          <w:sz w:val="24"/>
          <w:szCs w:val="24"/>
          <w:lang w:eastAsia="zh-CN" w:bidi="hi-IN"/>
        </w:rPr>
        <w:t>Д2.26.</w:t>
      </w:r>
      <w:r>
        <w:rPr>
          <w:rFonts w:eastAsia="NSimSun" w:cs="Times New Roman" w:ascii="Times New Roman" w:hAnsi="Times New Roman"/>
          <w:kern w:val="2"/>
          <w:sz w:val="24"/>
          <w:szCs w:val="24"/>
          <w:lang w:eastAsia="zh-CN" w:bidi="hi-IN"/>
        </w:rPr>
        <w:t xml:space="preserve"> та на рисунку </w:t>
      </w:r>
      <w:r>
        <w:rPr>
          <w:rFonts w:eastAsia="NSimSun" w:cs="Times New Roman" w:ascii="Times New Roman" w:hAnsi="Times New Roman"/>
          <w:color w:val="000000"/>
          <w:kern w:val="2"/>
          <w:sz w:val="24"/>
          <w:szCs w:val="24"/>
          <w:lang w:eastAsia="zh-CN" w:bidi="hi-IN"/>
        </w:rPr>
        <w:t>Д2.18</w:t>
      </w:r>
      <w:r>
        <w:rPr>
          <w:rFonts w:eastAsia="NSimSun" w:cs="Times New Roman" w:ascii="Times New Roman" w:hAnsi="Times New Roman"/>
          <w:kern w:val="2"/>
          <w:sz w:val="24"/>
          <w:szCs w:val="24"/>
          <w:lang w:eastAsia="zh-CN" w:bidi="hi-IN"/>
        </w:rPr>
        <w:t>.</w:t>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lang w:eastAsia="zh-CN" w:bidi="hi-IN"/>
        </w:rPr>
        <w:t>Д2.26. </w:t>
      </w:r>
      <w:r>
        <w:rPr>
          <w:rFonts w:eastAsia="NSimSun" w:cs="Times New Roman" w:ascii="Times New Roman" w:hAnsi="Times New Roman"/>
          <w:kern w:val="2"/>
          <w:sz w:val="24"/>
          <w:szCs w:val="24"/>
          <w:lang w:eastAsia="zh-CN" w:bidi="hi-IN"/>
        </w:rPr>
        <w:t>Кількість виробленої теплової енергії ДКП «Луцьктепло»</w:t>
      </w:r>
    </w:p>
    <w:tbl>
      <w:tblPr>
        <w:tblW w:w="9574" w:type="dxa"/>
        <w:jc w:val="start"/>
        <w:tblInd w:w="9" w:type="dxa"/>
        <w:tblLayout w:type="fixed"/>
        <w:tblCellMar>
          <w:top w:w="0" w:type="dxa"/>
          <w:start w:w="10" w:type="dxa"/>
          <w:bottom w:w="0" w:type="dxa"/>
          <w:end w:w="10" w:type="dxa"/>
        </w:tblCellMar>
        <w:tblLook w:firstRow="1" w:noVBand="1" w:lastRow="0" w:firstColumn="1" w:lastColumn="0" w:noHBand="0" w:val="04a0"/>
      </w:tblPr>
      <w:tblGrid>
        <w:gridCol w:w="3109"/>
        <w:gridCol w:w="808"/>
        <w:gridCol w:w="808"/>
        <w:gridCol w:w="808"/>
        <w:gridCol w:w="808"/>
        <w:gridCol w:w="808"/>
        <w:gridCol w:w="808"/>
        <w:gridCol w:w="808"/>
        <w:gridCol w:w="808"/>
      </w:tblGrid>
      <w:tr>
        <w:trPr/>
        <w:tc>
          <w:tcPr>
            <w:tcW w:w="3109" w:type="dxa"/>
            <w:vMerge w:val="restart"/>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Параметр</w:t>
            </w:r>
          </w:p>
        </w:tc>
        <w:tc>
          <w:tcPr>
            <w:tcW w:w="6464" w:type="dxa"/>
            <w:gridSpan w:val="8"/>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Роки</w:t>
            </w:r>
          </w:p>
        </w:tc>
      </w:tr>
      <w:tr>
        <w:trPr/>
        <w:tc>
          <w:tcPr>
            <w:tcW w:w="3109" w:type="dxa"/>
            <w:vMerge w:val="continue"/>
            <w:tcBorders>
              <w:start w:val="single" w:sz="8" w:space="0" w:color="000000"/>
              <w:bottom w:val="single" w:sz="4" w:space="0" w:color="000000"/>
              <w:end w:val="single" w:sz="8"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808"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2017</w:t>
            </w:r>
          </w:p>
        </w:tc>
        <w:tc>
          <w:tcPr>
            <w:tcW w:w="808"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2018</w:t>
            </w:r>
          </w:p>
        </w:tc>
        <w:tc>
          <w:tcPr>
            <w:tcW w:w="808"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2019</w:t>
            </w:r>
          </w:p>
        </w:tc>
        <w:tc>
          <w:tcPr>
            <w:tcW w:w="808"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2020</w:t>
            </w:r>
          </w:p>
        </w:tc>
        <w:tc>
          <w:tcPr>
            <w:tcW w:w="808"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2021</w:t>
            </w:r>
          </w:p>
        </w:tc>
        <w:tc>
          <w:tcPr>
            <w:tcW w:w="808"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2022</w:t>
            </w:r>
          </w:p>
        </w:tc>
        <w:tc>
          <w:tcPr>
            <w:tcW w:w="808"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2023</w:t>
            </w:r>
          </w:p>
        </w:tc>
        <w:tc>
          <w:tcPr>
            <w:tcW w:w="808"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cs="Times New Roman" w:ascii="Times New Roman" w:hAnsi="Times New Roman"/>
                <w:sz w:val="20"/>
                <w:szCs w:val="20"/>
              </w:rPr>
              <w:t>2024</w:t>
            </w:r>
          </w:p>
        </w:tc>
      </w:tr>
      <w:tr>
        <w:trPr>
          <w:trHeight w:val="383" w:hRule="atLeast"/>
        </w:trPr>
        <w:tc>
          <w:tcPr>
            <w:tcW w:w="310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Виробництво теплової енергії, тис. Гкал</w:t>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521,7</w:t>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504,1</w:t>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475,3</w:t>
            </w:r>
          </w:p>
        </w:tc>
        <w:tc>
          <w:tcPr>
            <w:tcW w:w="80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476,5</w:t>
            </w:r>
          </w:p>
        </w:tc>
        <w:tc>
          <w:tcPr>
            <w:tcW w:w="80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488,5</w:t>
            </w:r>
          </w:p>
        </w:tc>
        <w:tc>
          <w:tcPr>
            <w:tcW w:w="80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401,5</w:t>
            </w:r>
          </w:p>
        </w:tc>
        <w:tc>
          <w:tcPr>
            <w:tcW w:w="808"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405,4</w:t>
            </w:r>
          </w:p>
        </w:tc>
        <w:tc>
          <w:tcPr>
            <w:tcW w:w="808" w:type="dxa"/>
            <w:tcBorders>
              <w:top w:val="single" w:sz="4" w:space="0" w:color="000000"/>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410,2</w:t>
            </w:r>
          </w:p>
        </w:tc>
      </w:tr>
    </w:tbl>
    <w:p>
      <w:pPr>
        <w:pStyle w:val="Normal"/>
        <w:spacing w:lineRule="auto" w:line="240"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16">
            <wp:simplePos x="0" y="0"/>
            <wp:positionH relativeFrom="column">
              <wp:posOffset>1042670</wp:posOffset>
            </wp:positionH>
            <wp:positionV relativeFrom="paragraph">
              <wp:posOffset>88900</wp:posOffset>
            </wp:positionV>
            <wp:extent cx="3941445" cy="2217420"/>
            <wp:effectExtent l="0" t="0" r="0" b="0"/>
            <wp:wrapSquare wrapText="largest"/>
            <wp:docPr id="46" name="Об'єкт61"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anchor>
        </w:drawing>
      </w:r>
    </w:p>
    <w:p>
      <w:pPr>
        <w:pStyle w:val="Normal"/>
        <w:spacing w:lineRule="auto" w:line="240" w:before="0" w:after="0"/>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firstLine="567"/>
        <w:jc w:val="center"/>
        <w:rPr/>
      </w:pPr>
      <w:r>
        <w:rPr>
          <w:rFonts w:eastAsia="NSimSun" w:cs="Times New Roman" w:ascii="Times New Roman" w:hAnsi="Times New Roman"/>
          <w:kern w:val="2"/>
          <w:sz w:val="24"/>
          <w:szCs w:val="24"/>
          <w:lang w:eastAsia="zh-CN" w:bidi="hi-IN"/>
        </w:rPr>
        <w:t xml:space="preserve">Рисунок </w:t>
      </w:r>
      <w:r>
        <w:rPr>
          <w:rFonts w:eastAsia="NSimSun" w:cs="Times New Roman" w:ascii="Times New Roman" w:hAnsi="Times New Roman"/>
          <w:color w:val="000000"/>
          <w:kern w:val="2"/>
          <w:sz w:val="24"/>
          <w:szCs w:val="24"/>
          <w:lang w:eastAsia="zh-CN" w:bidi="hi-IN"/>
        </w:rPr>
        <w:t>Д2.</w:t>
      </w:r>
      <w:r>
        <w:rPr>
          <w:rFonts w:eastAsia="NSimSun" w:cs="Times New Roman" w:ascii="Times New Roman" w:hAnsi="Times New Roman"/>
          <w:kern w:val="2"/>
          <w:sz w:val="24"/>
          <w:szCs w:val="24"/>
          <w:lang w:eastAsia="zh-CN" w:bidi="hi-IN"/>
        </w:rPr>
        <w:t>18. Кількість виробленої теплової енергії ДКП «Луцьктепло»</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 xml:space="preserve">Кількість виробленої теплової енергії підприємством ДКП «Луцьктепло» протягом останніх років має тенденцію до зменшення. Це пояснюється зменшенням попиту на централізоване опалення та централізоване постачання гарячої води, підвищенням середньої температури зовнішнього повітря та проведенням енергоефективних заходів. </w:t>
      </w:r>
    </w:p>
    <w:p>
      <w:pPr>
        <w:pStyle w:val="Normal"/>
        <w:spacing w:lineRule="atLeast" w:line="20" w:before="0" w:after="0"/>
        <w:jc w:val="center"/>
        <w:rPr/>
      </w:pPr>
      <w:r>
        <w:rPr>
          <w:rFonts w:cs="Times New Roman" w:ascii="Times New Roman" w:hAnsi="Times New Roman"/>
          <w:sz w:val="24"/>
          <w:szCs w:val="24"/>
        </w:rPr>
        <w:t xml:space="preserve">Таблиця </w:t>
      </w:r>
      <w:r>
        <w:rPr>
          <w:rFonts w:eastAsia="NSimSun" w:cs="Times New Roman" w:ascii="Times New Roman" w:hAnsi="Times New Roman"/>
          <w:color w:val="000000"/>
          <w:kern w:val="2"/>
          <w:sz w:val="24"/>
          <w:szCs w:val="24"/>
          <w:lang w:eastAsia="zh-CN" w:bidi="hi-IN"/>
        </w:rPr>
        <w:t>Д2.27.</w:t>
      </w:r>
      <w:r>
        <w:rPr>
          <w:rFonts w:cs="Times New Roman" w:ascii="Times New Roman" w:hAnsi="Times New Roman"/>
          <w:sz w:val="24"/>
          <w:szCs w:val="24"/>
        </w:rPr>
        <w:t xml:space="preserve"> Тривалість опалювального сезону, середні температури протягом опалювального сезону та кількості діб опалення </w:t>
      </w:r>
    </w:p>
    <w:tbl>
      <w:tblPr>
        <w:tblW w:w="9649" w:type="dxa"/>
        <w:jc w:val="start"/>
        <w:tblInd w:w="10" w:type="dxa"/>
        <w:tblLayout w:type="fixed"/>
        <w:tblCellMar>
          <w:top w:w="0" w:type="dxa"/>
          <w:start w:w="10" w:type="dxa"/>
          <w:bottom w:w="0" w:type="dxa"/>
          <w:end w:w="10" w:type="dxa"/>
        </w:tblCellMar>
        <w:tblLook w:firstRow="1" w:noVBand="1" w:lastRow="0" w:firstColumn="1" w:lastColumn="0" w:noHBand="0" w:val="04a0"/>
      </w:tblPr>
      <w:tblGrid>
        <w:gridCol w:w="1896"/>
        <w:gridCol w:w="1457"/>
        <w:gridCol w:w="1427"/>
        <w:gridCol w:w="2440"/>
        <w:gridCol w:w="2429"/>
      </w:tblGrid>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pacing w:lineRule="atLeast" w:line="20" w:before="0" w:after="0"/>
              <w:jc w:val="center"/>
              <w:rPr/>
            </w:pPr>
            <w:r>
              <w:rPr>
                <w:rFonts w:cs="Times New Roman" w:ascii="Times New Roman" w:hAnsi="Times New Roman"/>
                <w:sz w:val="20"/>
                <w:szCs w:val="20"/>
              </w:rPr>
              <w:t>Опалювальний період</w:t>
            </w:r>
          </w:p>
        </w:tc>
        <w:tc>
          <w:tcPr>
            <w:tcW w:w="1457" w:type="dxa"/>
            <w:tcBorders>
              <w:top w:val="single" w:sz="4" w:space="0" w:color="000000"/>
              <w:start w:val="single" w:sz="4" w:space="0" w:color="000000"/>
              <w:bottom w:val="single" w:sz="4" w:space="0" w:color="000000"/>
              <w:end w:val="single" w:sz="4" w:space="0" w:color="000000"/>
            </w:tcBorders>
          </w:tcPr>
          <w:p>
            <w:pPr>
              <w:pStyle w:val="Normal"/>
              <w:spacing w:lineRule="atLeast" w:line="20" w:before="0" w:after="0"/>
              <w:jc w:val="center"/>
              <w:rPr/>
            </w:pPr>
            <w:r>
              <w:rPr>
                <w:rFonts w:cs="Times New Roman" w:ascii="Times New Roman" w:hAnsi="Times New Roman"/>
                <w:sz w:val="20"/>
                <w:szCs w:val="20"/>
              </w:rPr>
              <w:t>Початок</w:t>
            </w:r>
          </w:p>
        </w:tc>
        <w:tc>
          <w:tcPr>
            <w:tcW w:w="1427" w:type="dxa"/>
            <w:tcBorders>
              <w:top w:val="single" w:sz="4" w:space="0" w:color="000000"/>
              <w:start w:val="single" w:sz="4" w:space="0" w:color="000000"/>
              <w:bottom w:val="single" w:sz="4" w:space="0" w:color="000000"/>
              <w:end w:val="single" w:sz="4" w:space="0" w:color="000000"/>
            </w:tcBorders>
          </w:tcPr>
          <w:p>
            <w:pPr>
              <w:pStyle w:val="Normal"/>
              <w:spacing w:lineRule="atLeast" w:line="20" w:before="0" w:after="0"/>
              <w:jc w:val="center"/>
              <w:rPr/>
            </w:pPr>
            <w:r>
              <w:rPr>
                <w:rFonts w:cs="Times New Roman" w:ascii="Times New Roman" w:hAnsi="Times New Roman"/>
                <w:sz w:val="20"/>
                <w:szCs w:val="20"/>
              </w:rPr>
              <w:t>Кінець</w:t>
            </w:r>
          </w:p>
        </w:tc>
        <w:tc>
          <w:tcPr>
            <w:tcW w:w="2440" w:type="dxa"/>
            <w:tcBorders>
              <w:top w:val="single" w:sz="4" w:space="0" w:color="000000"/>
              <w:start w:val="single" w:sz="4" w:space="0" w:color="000000"/>
              <w:bottom w:val="single" w:sz="4" w:space="0" w:color="000000"/>
              <w:end w:val="single" w:sz="4" w:space="0" w:color="000000"/>
            </w:tcBorders>
          </w:tcPr>
          <w:p>
            <w:pPr>
              <w:pStyle w:val="Normal"/>
              <w:spacing w:lineRule="atLeast" w:line="20" w:before="0" w:after="0"/>
              <w:jc w:val="center"/>
              <w:rPr/>
            </w:pPr>
            <w:r>
              <w:rPr>
                <w:rFonts w:cs="Times New Roman" w:ascii="Times New Roman" w:hAnsi="Times New Roman"/>
                <w:sz w:val="20"/>
                <w:szCs w:val="20"/>
              </w:rPr>
              <w:t>Тривалість опалення,</w:t>
            </w:r>
          </w:p>
          <w:p>
            <w:pPr>
              <w:pStyle w:val="Normal"/>
              <w:spacing w:lineRule="atLeast" w:line="20" w:before="0" w:after="0"/>
              <w:jc w:val="center"/>
              <w:rPr/>
            </w:pPr>
            <w:r>
              <w:rPr>
                <w:rFonts w:cs="Times New Roman" w:ascii="Times New Roman" w:hAnsi="Times New Roman"/>
                <w:sz w:val="20"/>
                <w:szCs w:val="20"/>
              </w:rPr>
              <w:t>діб</w:t>
            </w:r>
          </w:p>
        </w:tc>
        <w:tc>
          <w:tcPr>
            <w:tcW w:w="2429" w:type="dxa"/>
            <w:tcBorders>
              <w:top w:val="single" w:sz="4" w:space="0" w:color="000000"/>
              <w:start w:val="single" w:sz="4" w:space="0" w:color="000000"/>
              <w:bottom w:val="single" w:sz="4" w:space="0" w:color="000000"/>
              <w:end w:val="single" w:sz="4" w:space="0" w:color="000000"/>
            </w:tcBorders>
          </w:tcPr>
          <w:p>
            <w:pPr>
              <w:pStyle w:val="Normal"/>
              <w:spacing w:lineRule="atLeast" w:line="20" w:before="0" w:after="0"/>
              <w:jc w:val="center"/>
              <w:rPr/>
            </w:pPr>
            <w:r>
              <w:rPr>
                <w:rFonts w:cs="Times New Roman" w:ascii="Times New Roman" w:hAnsi="Times New Roman"/>
                <w:sz w:val="20"/>
                <w:szCs w:val="20"/>
              </w:rPr>
              <w:t>Середня температура повітря за опалювальний період, °С</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2016-2017</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9.10.2016</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11.04.2017</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182</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0,9</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2017-2018</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22.10.2017</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05.04.2018</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165</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0,6</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2018-2019</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22.10.2018</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05.04.2018</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158</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1,3</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2019-2020</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29.10.2019</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08.04.2020</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162</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3,5</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2020-2021</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15.10.2020</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11.04.2021</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178</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1,7</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2021-2022</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10.10.2021</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06.04.2022</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178</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2,2</w:t>
            </w:r>
          </w:p>
        </w:tc>
      </w:tr>
      <w:tr>
        <w:trPr>
          <w:trHeight w:val="20" w:hRule="atLeast"/>
        </w:trPr>
        <w:tc>
          <w:tcPr>
            <w:tcW w:w="1896"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2022-2023</w:t>
            </w:r>
          </w:p>
        </w:tc>
        <w:tc>
          <w:tcPr>
            <w:tcW w:w="145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03.11.2022</w:t>
            </w:r>
          </w:p>
        </w:tc>
        <w:tc>
          <w:tcPr>
            <w:tcW w:w="1427"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09.04.2023</w:t>
            </w:r>
          </w:p>
        </w:tc>
        <w:tc>
          <w:tcPr>
            <w:tcW w:w="2440"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154</w:t>
            </w:r>
          </w:p>
        </w:tc>
        <w:tc>
          <w:tcPr>
            <w:tcW w:w="2429" w:type="dxa"/>
            <w:tcBorders>
              <w:top w:val="single" w:sz="4" w:space="0" w:color="000000"/>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w:t>
            </w:r>
          </w:p>
        </w:tc>
      </w:tr>
      <w:tr>
        <w:trPr>
          <w:trHeight w:val="20" w:hRule="atLeast"/>
        </w:trPr>
        <w:tc>
          <w:tcPr>
            <w:tcW w:w="1896"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2023-2024</w:t>
            </w:r>
          </w:p>
        </w:tc>
        <w:tc>
          <w:tcPr>
            <w:tcW w:w="1457"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17.10.2023</w:t>
            </w:r>
          </w:p>
        </w:tc>
        <w:tc>
          <w:tcPr>
            <w:tcW w:w="1427"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27.03.2024</w:t>
            </w:r>
          </w:p>
        </w:tc>
        <w:tc>
          <w:tcPr>
            <w:tcW w:w="2440"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163</w:t>
            </w:r>
          </w:p>
        </w:tc>
        <w:tc>
          <w:tcPr>
            <w:tcW w:w="2429"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3,3</w:t>
            </w:r>
          </w:p>
        </w:tc>
      </w:tr>
      <w:tr>
        <w:trPr>
          <w:trHeight w:val="20" w:hRule="atLeast"/>
        </w:trPr>
        <w:tc>
          <w:tcPr>
            <w:tcW w:w="1896"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2024-2025</w:t>
            </w:r>
          </w:p>
        </w:tc>
        <w:tc>
          <w:tcPr>
            <w:tcW w:w="1457"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16.10.2024</w:t>
            </w:r>
          </w:p>
        </w:tc>
        <w:tc>
          <w:tcPr>
            <w:tcW w:w="1427"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sz w:val="20"/>
                <w:szCs w:val="20"/>
              </w:rPr>
              <w:t>27.03.2025</w:t>
            </w:r>
          </w:p>
        </w:tc>
        <w:tc>
          <w:tcPr>
            <w:tcW w:w="2440"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color w:val="000000"/>
                <w:sz w:val="20"/>
                <w:szCs w:val="20"/>
                <w:shd w:fill="FFFFFF" w:val="clear"/>
              </w:rPr>
              <w:t>164</w:t>
            </w:r>
          </w:p>
        </w:tc>
        <w:tc>
          <w:tcPr>
            <w:tcW w:w="2429" w:type="dxa"/>
            <w:tcBorders>
              <w:start w:val="single" w:sz="4" w:space="0" w:color="000000"/>
              <w:bottom w:val="single" w:sz="4" w:space="0" w:color="000000"/>
              <w:end w:val="single" w:sz="4" w:space="0" w:color="000000"/>
            </w:tcBorders>
          </w:tcPr>
          <w:p>
            <w:pPr>
              <w:pStyle w:val="Normal"/>
              <w:suppressAutoHyphens w:val="false"/>
              <w:spacing w:lineRule="atLeast" w:line="20" w:before="0" w:after="0"/>
              <w:jc w:val="center"/>
              <w:rPr/>
            </w:pPr>
            <w:r>
              <w:rPr>
                <w:rFonts w:cs="Times New Roman" w:ascii="Times New Roman" w:hAnsi="Times New Roman"/>
                <w:color w:val="000000"/>
                <w:sz w:val="20"/>
                <w:szCs w:val="20"/>
                <w:shd w:fill="FFFFFF" w:val="clear"/>
              </w:rPr>
              <w:t>2,1</w:t>
            </w:r>
          </w:p>
        </w:tc>
      </w:tr>
    </w:tbl>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Порівняння показників залежності кількості виробленого тепла й кількості діб опалення наведено на рисунку </w:t>
      </w:r>
      <w:r>
        <w:rPr>
          <w:rFonts w:eastAsia="NSimSun" w:cs="Times New Roman" w:ascii="Times New Roman" w:hAnsi="Times New Roman"/>
          <w:color w:val="000000"/>
          <w:kern w:val="2"/>
          <w:sz w:val="24"/>
          <w:szCs w:val="24"/>
          <w:lang w:eastAsia="zh-CN" w:bidi="hi-IN"/>
        </w:rPr>
        <w:t>Д2.</w:t>
      </w:r>
      <w:r>
        <w:rPr>
          <w:rFonts w:eastAsia="NSimSun" w:cs="Times New Roman" w:ascii="Times New Roman" w:hAnsi="Times New Roman"/>
          <w:kern w:val="2"/>
          <w:sz w:val="24"/>
          <w:szCs w:val="24"/>
          <w:lang w:eastAsia="zh-CN" w:bidi="hi-IN"/>
        </w:rPr>
        <w:t xml:space="preserve">19. </w:t>
      </w:r>
    </w:p>
    <w:p>
      <w:pPr>
        <w:pStyle w:val="Normal"/>
        <w:spacing w:before="0" w:after="0"/>
        <w:jc w:val="both"/>
        <w:rPr/>
      </w:pPr>
      <w: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4478020" cy="2519045"/>
            <wp:effectExtent l="0" t="0" r="0" b="0"/>
            <wp:wrapSquare wrapText="largest"/>
            <wp:docPr id="47" name="Об'єкт5"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anchor>
        </w:drawing>
        <w:t> </w:t>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pPr>
      <w:r>
        <w:rPr>
          <w:rFonts w:eastAsia="NSimSun" w:cs="Times New Roman" w:ascii="Times New Roman" w:hAnsi="Times New Roman"/>
          <w:kern w:val="2"/>
          <w:sz w:val="24"/>
          <w:szCs w:val="24"/>
          <w:lang w:eastAsia="zh-CN" w:bidi="hi-IN"/>
        </w:rPr>
        <w:t xml:space="preserve">Рисунок </w:t>
      </w:r>
      <w:r>
        <w:rPr>
          <w:rFonts w:eastAsia="NSimSun" w:cs="Times New Roman" w:ascii="Times New Roman" w:hAnsi="Times New Roman"/>
          <w:color w:val="000000"/>
          <w:kern w:val="2"/>
          <w:sz w:val="24"/>
          <w:szCs w:val="24"/>
          <w:lang w:eastAsia="zh-CN" w:bidi="hi-IN"/>
        </w:rPr>
        <w:t>Д2.</w:t>
      </w:r>
      <w:r>
        <w:rPr>
          <w:rFonts w:eastAsia="NSimSun" w:cs="Times New Roman" w:ascii="Times New Roman" w:hAnsi="Times New Roman"/>
          <w:kern w:val="2"/>
          <w:sz w:val="24"/>
          <w:szCs w:val="24"/>
          <w:lang w:eastAsia="zh-CN" w:bidi="hi-IN"/>
        </w:rPr>
        <w:t>19. Залежність кількості діб опалення й кількості виробленого тепла</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Фактичні витрати ДКП «Луцьктепло» та втрати під час транспортування тепла подані в таблиці </w:t>
      </w:r>
      <w:r>
        <w:rPr>
          <w:rFonts w:eastAsia="NSimSun" w:cs="Times New Roman" w:ascii="Times New Roman" w:hAnsi="Times New Roman"/>
          <w:color w:val="000000"/>
          <w:kern w:val="2"/>
          <w:sz w:val="24"/>
          <w:szCs w:val="24"/>
          <w:lang w:eastAsia="zh-CN" w:bidi="hi-IN"/>
        </w:rPr>
        <w:t>Д2.28</w:t>
      </w:r>
      <w:r>
        <w:rPr>
          <w:rFonts w:eastAsia="NSimSun" w:cs="Times New Roman" w:ascii="Times New Roman" w:hAnsi="Times New Roman"/>
          <w:kern w:val="2"/>
          <w:sz w:val="24"/>
          <w:szCs w:val="24"/>
          <w:lang w:eastAsia="zh-CN" w:bidi="hi-IN"/>
        </w:rPr>
        <w:t>.</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lang w:eastAsia="zh-CN" w:bidi="hi-IN"/>
        </w:rPr>
        <w:t>Д2.28</w:t>
      </w:r>
      <w:r>
        <w:rPr>
          <w:rFonts w:eastAsia="NSimSun" w:cs="Times New Roman" w:ascii="Times New Roman" w:hAnsi="Times New Roman"/>
          <w:kern w:val="2"/>
          <w:sz w:val="24"/>
          <w:szCs w:val="24"/>
          <w:lang w:eastAsia="zh-CN" w:bidi="hi-IN"/>
        </w:rPr>
        <w:t> Аналіз витрат та втрат під час транспортування теплової енергії</w:t>
      </w:r>
    </w:p>
    <w:tbl>
      <w:tblPr>
        <w:tblW w:w="9505" w:type="dxa"/>
        <w:jc w:val="start"/>
        <w:tblInd w:w="47" w:type="dxa"/>
        <w:tblLayout w:type="fixed"/>
        <w:tblCellMar>
          <w:top w:w="0" w:type="dxa"/>
          <w:start w:w="10" w:type="dxa"/>
          <w:bottom w:w="0" w:type="dxa"/>
          <w:end w:w="5" w:type="dxa"/>
        </w:tblCellMar>
        <w:tblLook w:firstRow="1" w:noVBand="1" w:lastRow="0" w:firstColumn="1" w:lastColumn="0" w:noHBand="0" w:val="04a0"/>
      </w:tblPr>
      <w:tblGrid>
        <w:gridCol w:w="4298"/>
        <w:gridCol w:w="651"/>
        <w:gridCol w:w="651"/>
        <w:gridCol w:w="649"/>
        <w:gridCol w:w="651"/>
        <w:gridCol w:w="651"/>
        <w:gridCol w:w="651"/>
        <w:gridCol w:w="651"/>
        <w:gridCol w:w="651"/>
      </w:tblGrid>
      <w:tr>
        <w:trPr/>
        <w:tc>
          <w:tcPr>
            <w:tcW w:w="4298" w:type="dxa"/>
            <w:vMerge w:val="restart"/>
            <w:tcBorders>
              <w:top w:val="single" w:sz="8" w:space="0" w:color="000000"/>
              <w:start w:val="single" w:sz="8"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Назва параметрів</w:t>
            </w:r>
          </w:p>
        </w:tc>
        <w:tc>
          <w:tcPr>
            <w:tcW w:w="5206" w:type="dxa"/>
            <w:gridSpan w:val="8"/>
            <w:tcBorders>
              <w:top w:val="single" w:sz="8" w:space="0" w:color="000000"/>
              <w:start w:val="single" w:sz="4" w:space="0" w:color="000000"/>
              <w:bottom w:val="single" w:sz="6"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Роки</w:t>
            </w:r>
          </w:p>
        </w:tc>
      </w:tr>
      <w:tr>
        <w:trPr/>
        <w:tc>
          <w:tcPr>
            <w:tcW w:w="4298" w:type="dxa"/>
            <w:vMerge w:val="continue"/>
            <w:tcBorders>
              <w:start w:val="single" w:sz="8" w:space="0" w:color="000000"/>
              <w:bottom w:val="single" w:sz="4" w:space="0" w:color="000000"/>
              <w:end w:val="single" w:sz="4" w:space="0" w:color="000000"/>
            </w:tcBorders>
          </w:tcPr>
          <w:p>
            <w:pPr>
              <w:pStyle w:val="Normal"/>
              <w:spacing w:before="0" w:after="0"/>
              <w:rPr>
                <w:rFonts w:ascii="Times New Roman" w:hAnsi="Times New Roman"/>
                <w:sz w:val="20"/>
                <w:szCs w:val="20"/>
              </w:rPr>
            </w:pPr>
            <w:r>
              <w:rPr>
                <w:rFonts w:ascii="Times New Roman" w:hAnsi="Times New Roman"/>
                <w:sz w:val="20"/>
                <w:szCs w:val="20"/>
              </w:rPr>
            </w:r>
          </w:p>
        </w:tc>
        <w:tc>
          <w:tcPr>
            <w:tcW w:w="651" w:type="dxa"/>
            <w:tcBorders>
              <w:top w:val="single" w:sz="6"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2017</w:t>
            </w:r>
          </w:p>
        </w:tc>
        <w:tc>
          <w:tcPr>
            <w:tcW w:w="651" w:type="dxa"/>
            <w:tcBorders>
              <w:top w:val="single" w:sz="6"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2018</w:t>
            </w:r>
          </w:p>
        </w:tc>
        <w:tc>
          <w:tcPr>
            <w:tcW w:w="649" w:type="dxa"/>
            <w:tcBorders>
              <w:top w:val="single" w:sz="6"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2019</w:t>
            </w:r>
          </w:p>
        </w:tc>
        <w:tc>
          <w:tcPr>
            <w:tcW w:w="651" w:type="dxa"/>
            <w:tcBorders>
              <w:top w:val="single" w:sz="6"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2020</w:t>
            </w:r>
          </w:p>
        </w:tc>
        <w:tc>
          <w:tcPr>
            <w:tcW w:w="651" w:type="dxa"/>
            <w:tcBorders>
              <w:top w:val="single" w:sz="6"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2021</w:t>
            </w:r>
          </w:p>
        </w:tc>
        <w:tc>
          <w:tcPr>
            <w:tcW w:w="651" w:type="dxa"/>
            <w:tcBorders>
              <w:top w:val="single" w:sz="6"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2022</w:t>
            </w:r>
          </w:p>
        </w:tc>
        <w:tc>
          <w:tcPr>
            <w:tcW w:w="651" w:type="dxa"/>
            <w:tcBorders>
              <w:top w:val="single" w:sz="6" w:space="0" w:color="000000"/>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2023</w:t>
            </w:r>
          </w:p>
        </w:tc>
        <w:tc>
          <w:tcPr>
            <w:tcW w:w="651" w:type="dxa"/>
            <w:tcBorders>
              <w:top w:val="single" w:sz="6" w:space="0" w:color="000000"/>
              <w:start w:val="single" w:sz="4" w:space="0" w:color="000000"/>
              <w:bottom w:val="single" w:sz="4" w:space="0" w:color="000000"/>
              <w:end w:val="single" w:sz="8" w:space="0" w:color="000000"/>
            </w:tcBorders>
          </w:tcPr>
          <w:p>
            <w:pPr>
              <w:pStyle w:val="Normal"/>
              <w:widowControl w:val="false"/>
              <w:spacing w:lineRule="auto" w:line="240" w:before="0" w:after="0"/>
              <w:jc w:val="center"/>
              <w:rPr/>
            </w:pPr>
            <w:r>
              <w:rPr>
                <w:rFonts w:ascii="Times New Roman" w:hAnsi="Times New Roman"/>
                <w:sz w:val="20"/>
                <w:szCs w:val="20"/>
              </w:rPr>
              <w:t>2024</w:t>
            </w:r>
          </w:p>
        </w:tc>
      </w:tr>
      <w:tr>
        <w:trPr/>
        <w:tc>
          <w:tcPr>
            <w:tcW w:w="4298"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Виробництво теплової енергії, тис. Гкал</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521,7</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504,1</w:t>
            </w:r>
          </w:p>
        </w:tc>
        <w:tc>
          <w:tcPr>
            <w:tcW w:w="6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475,3</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476,5</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488,5</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401,5</w:t>
            </w:r>
          </w:p>
        </w:tc>
        <w:tc>
          <w:tcPr>
            <w:tcW w:w="651"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405,4</w:t>
            </w:r>
          </w:p>
        </w:tc>
        <w:tc>
          <w:tcPr>
            <w:tcW w:w="651"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410,2</w:t>
            </w:r>
          </w:p>
        </w:tc>
      </w:tr>
      <w:tr>
        <w:trPr/>
        <w:tc>
          <w:tcPr>
            <w:tcW w:w="4298"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Витрати на власні потреби, тис. Гкал</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11,3</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11,0</w:t>
            </w:r>
          </w:p>
        </w:tc>
        <w:tc>
          <w:tcPr>
            <w:tcW w:w="6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10,4</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10,4</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10,7</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8,8</w:t>
            </w:r>
          </w:p>
        </w:tc>
        <w:tc>
          <w:tcPr>
            <w:tcW w:w="651"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8,8</w:t>
            </w:r>
          </w:p>
        </w:tc>
        <w:tc>
          <w:tcPr>
            <w:tcW w:w="651"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8,9</w:t>
            </w:r>
          </w:p>
        </w:tc>
      </w:tr>
      <w:tr>
        <w:trPr/>
        <w:tc>
          <w:tcPr>
            <w:tcW w:w="4298"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Річний обсяг відпуску теплової енергії, тис. Гкал</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510,3</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493,1</w:t>
            </w:r>
          </w:p>
        </w:tc>
        <w:tc>
          <w:tcPr>
            <w:tcW w:w="6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464,9</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466,1</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477,8</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392,7</w:t>
            </w:r>
          </w:p>
        </w:tc>
        <w:tc>
          <w:tcPr>
            <w:tcW w:w="651"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396,6</w:t>
            </w:r>
          </w:p>
        </w:tc>
        <w:tc>
          <w:tcPr>
            <w:tcW w:w="651"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401,2</w:t>
            </w:r>
          </w:p>
        </w:tc>
      </w:tr>
      <w:tr>
        <w:trPr/>
        <w:tc>
          <w:tcPr>
            <w:tcW w:w="4298"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Втрати в мережах, тис. Гкал</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62,3</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72,8</w:t>
            </w:r>
          </w:p>
        </w:tc>
        <w:tc>
          <w:tcPr>
            <w:tcW w:w="6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108,8</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95,3</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103,2</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83,2</w:t>
            </w:r>
          </w:p>
        </w:tc>
        <w:tc>
          <w:tcPr>
            <w:tcW w:w="651"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89,1</w:t>
            </w:r>
          </w:p>
        </w:tc>
        <w:tc>
          <w:tcPr>
            <w:tcW w:w="651"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87,9</w:t>
            </w:r>
          </w:p>
        </w:tc>
      </w:tr>
      <w:tr>
        <w:trPr/>
        <w:tc>
          <w:tcPr>
            <w:tcW w:w="4298"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Корисний відпуск теплової енергії, тис. Гкал</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448,1</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419,4</w:t>
            </w:r>
          </w:p>
        </w:tc>
        <w:tc>
          <w:tcPr>
            <w:tcW w:w="6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356,1</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370,8</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374,6</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309,5</w:t>
            </w:r>
          </w:p>
        </w:tc>
        <w:tc>
          <w:tcPr>
            <w:tcW w:w="651"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307,9</w:t>
            </w:r>
          </w:p>
        </w:tc>
        <w:tc>
          <w:tcPr>
            <w:tcW w:w="651"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313,3</w:t>
            </w:r>
          </w:p>
        </w:tc>
      </w:tr>
      <w:tr>
        <w:trPr/>
        <w:tc>
          <w:tcPr>
            <w:tcW w:w="4298"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 xml:space="preserve"> </w:t>
            </w:r>
            <w:r>
              <w:rPr>
                <w:rFonts w:eastAsia="Microsoft Sans Serif" w:cs="Times New Roman" w:ascii="Times New Roman" w:hAnsi="Times New Roman"/>
                <w:kern w:val="2"/>
                <w:sz w:val="20"/>
                <w:szCs w:val="20"/>
              </w:rPr>
              <w:t>% витрат на власне споживання</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0,188</w:t>
            </w:r>
          </w:p>
        </w:tc>
        <w:tc>
          <w:tcPr>
            <w:tcW w:w="6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0,192</w:t>
            </w:r>
          </w:p>
        </w:tc>
        <w:tc>
          <w:tcPr>
            <w:tcW w:w="64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0,199</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0,188</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0,362</w:t>
            </w:r>
          </w:p>
        </w:tc>
        <w:tc>
          <w:tcPr>
            <w:tcW w:w="65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0,406</w:t>
            </w:r>
          </w:p>
        </w:tc>
        <w:tc>
          <w:tcPr>
            <w:tcW w:w="651"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0,184</w:t>
            </w:r>
          </w:p>
        </w:tc>
        <w:tc>
          <w:tcPr>
            <w:tcW w:w="651"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0,21</w:t>
            </w:r>
          </w:p>
        </w:tc>
      </w:tr>
      <w:tr>
        <w:trPr/>
        <w:tc>
          <w:tcPr>
            <w:tcW w:w="4298" w:type="dxa"/>
            <w:tcBorders>
              <w:top w:val="single" w:sz="4" w:space="0" w:color="000000"/>
              <w:start w:val="single" w:sz="8" w:space="0" w:color="000000"/>
              <w:bottom w:val="single" w:sz="8"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 xml:space="preserve"> </w:t>
            </w:r>
            <w:r>
              <w:rPr>
                <w:rFonts w:eastAsia="Microsoft Sans Serif" w:cs="Times New Roman" w:ascii="Times New Roman" w:hAnsi="Times New Roman"/>
                <w:kern w:val="2"/>
                <w:sz w:val="20"/>
                <w:szCs w:val="20"/>
              </w:rPr>
              <w:t>% втрати в мережах</w:t>
            </w:r>
          </w:p>
        </w:tc>
        <w:tc>
          <w:tcPr>
            <w:tcW w:w="651" w:type="dxa"/>
            <w:tcBorders>
              <w:top w:val="single" w:sz="4" w:space="0" w:color="000000"/>
              <w:start w:val="single" w:sz="4" w:space="0" w:color="000000"/>
              <w:bottom w:val="single" w:sz="8"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12,2</w:t>
            </w:r>
          </w:p>
        </w:tc>
        <w:tc>
          <w:tcPr>
            <w:tcW w:w="651" w:type="dxa"/>
            <w:tcBorders>
              <w:top w:val="single" w:sz="4" w:space="0" w:color="000000"/>
              <w:start w:val="single" w:sz="4" w:space="0" w:color="000000"/>
              <w:bottom w:val="single" w:sz="8"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14,77</w:t>
            </w:r>
          </w:p>
        </w:tc>
        <w:tc>
          <w:tcPr>
            <w:tcW w:w="649" w:type="dxa"/>
            <w:tcBorders>
              <w:top w:val="single" w:sz="4" w:space="0" w:color="000000"/>
              <w:start w:val="single" w:sz="4" w:space="0" w:color="000000"/>
              <w:bottom w:val="single" w:sz="8" w:space="0" w:color="000000"/>
              <w:end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23,41</w:t>
            </w:r>
          </w:p>
        </w:tc>
        <w:tc>
          <w:tcPr>
            <w:tcW w:w="651"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20,45</w:t>
            </w:r>
          </w:p>
        </w:tc>
        <w:tc>
          <w:tcPr>
            <w:tcW w:w="651"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21,6</w:t>
            </w:r>
          </w:p>
        </w:tc>
        <w:tc>
          <w:tcPr>
            <w:tcW w:w="651"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21,2</w:t>
            </w:r>
          </w:p>
        </w:tc>
        <w:tc>
          <w:tcPr>
            <w:tcW w:w="651" w:type="dxa"/>
            <w:tcBorders>
              <w:top w:val="single" w:sz="4" w:space="0" w:color="000000"/>
              <w:start w:val="single" w:sz="4" w:space="0" w:color="000000"/>
              <w:bottom w:val="single" w:sz="8" w:space="0" w:color="000000"/>
            </w:tcBorders>
            <w:vAlign w:val="center"/>
          </w:tcPr>
          <w:p>
            <w:pPr>
              <w:pStyle w:val="TableParagraph"/>
              <w:widowControl w:val="false"/>
              <w:jc w:val="center"/>
              <w:rPr/>
            </w:pPr>
            <w:r>
              <w:rPr>
                <w:rFonts w:ascii="Times New Roman" w:hAnsi="Times New Roman"/>
                <w:sz w:val="20"/>
                <w:szCs w:val="20"/>
              </w:rPr>
              <w:t>22,43</w:t>
            </w:r>
          </w:p>
        </w:tc>
        <w:tc>
          <w:tcPr>
            <w:tcW w:w="651" w:type="dxa"/>
            <w:tcBorders>
              <w:top w:val="single" w:sz="4" w:space="0" w:color="000000"/>
              <w:start w:val="single" w:sz="4"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21,89</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Відсоток витрат теплової енергії на технологічні потреби є стабільним і становить в середньому 2,2 % від загальної кількості виробленого тепла. Відсоток втрат теплової енергії в мережах є стабільним і в середньому становить 20 %.</w:t>
      </w:r>
    </w:p>
    <w:p>
      <w:pPr>
        <w:pStyle w:val="Normal"/>
        <w:spacing w:before="0" w:after="0"/>
        <w:ind w:firstLine="510"/>
        <w:jc w:val="both"/>
        <w:rPr/>
      </w:pPr>
      <w:r>
        <w:rPr>
          <w:rFonts w:eastAsia="NSimSun" w:cs="Times New Roman" w:ascii="Times New Roman" w:hAnsi="Times New Roman"/>
          <w:kern w:val="2"/>
          <w:sz w:val="24"/>
          <w:szCs w:val="24"/>
          <w:lang w:eastAsia="zh-CN" w:bidi="hi-IN"/>
        </w:rPr>
        <w:t>У м. Луцьку основними споживачами теплової енергії є: бюджетні установи, населення, промисловість, релігійні організації, інші споживачі (комерційні установи, банки тощо).</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За 2024 рік було заплановано реалізувати споживачам 458,781 тис. Гкал, однак фактично було відпущено 312,722 тис. Гкал теплової енергії, що на 146,059 тис. Гкал менше, зокрема, населенню – 261,479 тис. Гкал, бюджетним організаціям та установам – 41,872 тис. Гкал, іншим споживачам – 9,236 тис. Гкал, релігійним організаціям – 0,135 тис. Гкал. </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Інформація щодо споживання теплової енергії по основним категоріям споживачів м. Луцька наведено в таблиці </w:t>
      </w:r>
      <w:r>
        <w:rPr>
          <w:rFonts w:eastAsia="NSimSun" w:cs="Times New Roman" w:ascii="Times New Roman" w:hAnsi="Times New Roman"/>
          <w:color w:val="000000"/>
          <w:kern w:val="2"/>
          <w:sz w:val="24"/>
          <w:szCs w:val="24"/>
          <w:lang w:eastAsia="zh-CN" w:bidi="hi-IN"/>
        </w:rPr>
        <w:t>Д2.29.</w:t>
      </w:r>
      <w:r>
        <w:rPr>
          <w:rFonts w:eastAsia="NSimSun" w:cs="Times New Roman" w:ascii="Times New Roman" w:hAnsi="Times New Roman"/>
          <w:kern w:val="2"/>
          <w:sz w:val="24"/>
          <w:szCs w:val="24"/>
          <w:lang w:eastAsia="zh-CN" w:bidi="hi-IN"/>
        </w:rPr>
        <w:t xml:space="preserve"> та на рисунках </w:t>
      </w:r>
      <w:r>
        <w:rPr>
          <w:rFonts w:eastAsia="NSimSun" w:cs="Times New Roman" w:ascii="Times New Roman" w:hAnsi="Times New Roman"/>
          <w:color w:val="000000"/>
          <w:kern w:val="2"/>
          <w:sz w:val="24"/>
          <w:szCs w:val="24"/>
          <w:lang w:eastAsia="zh-CN" w:bidi="hi-IN"/>
        </w:rPr>
        <w:t>Д2.</w:t>
      </w:r>
      <w:r>
        <w:rPr>
          <w:rFonts w:eastAsia="NSimSun" w:cs="Times New Roman" w:ascii="Times New Roman" w:hAnsi="Times New Roman"/>
          <w:kern w:val="2"/>
          <w:sz w:val="24"/>
          <w:szCs w:val="24"/>
          <w:lang w:eastAsia="zh-CN" w:bidi="hi-IN"/>
        </w:rPr>
        <w:t xml:space="preserve">20, </w:t>
      </w:r>
      <w:r>
        <w:rPr>
          <w:rFonts w:eastAsia="NSimSun" w:cs="Times New Roman" w:ascii="Times New Roman" w:hAnsi="Times New Roman"/>
          <w:color w:val="000000"/>
          <w:kern w:val="2"/>
          <w:sz w:val="24"/>
          <w:szCs w:val="24"/>
          <w:lang w:eastAsia="zh-CN" w:bidi="hi-IN"/>
        </w:rPr>
        <w:t>Д2.21</w:t>
      </w:r>
      <w:r>
        <w:rPr>
          <w:rFonts w:eastAsia="NSimSun" w:cs="Times New Roman" w:ascii="Times New Roman" w:hAnsi="Times New Roman"/>
          <w:kern w:val="2"/>
          <w:sz w:val="24"/>
          <w:szCs w:val="24"/>
          <w:lang w:eastAsia="zh-CN" w:bidi="hi-IN"/>
        </w:rPr>
        <w:t>.</w:t>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lang w:eastAsia="zh-CN" w:bidi="hi-IN"/>
        </w:rPr>
        <w:t>Д2.29.</w:t>
      </w:r>
      <w:r>
        <w:rPr>
          <w:rFonts w:eastAsia="NSimSun" w:cs="Times New Roman" w:ascii="Times New Roman" w:hAnsi="Times New Roman"/>
          <w:kern w:val="2"/>
          <w:sz w:val="24"/>
          <w:szCs w:val="24"/>
          <w:lang w:eastAsia="zh-CN" w:bidi="hi-IN"/>
        </w:rPr>
        <w:t> Споживання теплової енергії основними категоріями споживачів (тис. Гкал)</w:t>
      </w:r>
    </w:p>
    <w:tbl>
      <w:tblPr>
        <w:tblW w:w="9569" w:type="dxa"/>
        <w:jc w:val="start"/>
        <w:tblInd w:w="9" w:type="dxa"/>
        <w:tblLayout w:type="fixed"/>
        <w:tblCellMar>
          <w:top w:w="0" w:type="dxa"/>
          <w:start w:w="10" w:type="dxa"/>
          <w:bottom w:w="0" w:type="dxa"/>
          <w:end w:w="10" w:type="dxa"/>
        </w:tblCellMar>
        <w:tblLook w:firstRow="1" w:noVBand="1" w:lastRow="0" w:firstColumn="1" w:lastColumn="0" w:noHBand="0" w:val="04a0"/>
      </w:tblPr>
      <w:tblGrid>
        <w:gridCol w:w="3498"/>
        <w:gridCol w:w="759"/>
        <w:gridCol w:w="759"/>
        <w:gridCol w:w="757"/>
        <w:gridCol w:w="759"/>
        <w:gridCol w:w="759"/>
        <w:gridCol w:w="768"/>
        <w:gridCol w:w="755"/>
        <w:gridCol w:w="754"/>
      </w:tblGrid>
      <w:tr>
        <w:trPr/>
        <w:tc>
          <w:tcPr>
            <w:tcW w:w="3498" w:type="dxa"/>
            <w:vMerge w:val="restart"/>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Параметр</w:t>
            </w:r>
          </w:p>
        </w:tc>
        <w:tc>
          <w:tcPr>
            <w:tcW w:w="6070" w:type="dxa"/>
            <w:gridSpan w:val="8"/>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Роки</w:t>
            </w:r>
          </w:p>
        </w:tc>
      </w:tr>
      <w:tr>
        <w:trPr/>
        <w:tc>
          <w:tcPr>
            <w:tcW w:w="3498" w:type="dxa"/>
            <w:vMerge w:val="continue"/>
            <w:tcBorders>
              <w:start w:val="single" w:sz="8" w:space="0" w:color="000000"/>
              <w:bottom w:val="single" w:sz="4" w:space="0" w:color="000000"/>
              <w:end w:val="single" w:sz="8"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759"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2017</w:t>
            </w:r>
          </w:p>
        </w:tc>
        <w:tc>
          <w:tcPr>
            <w:tcW w:w="759"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2018</w:t>
            </w:r>
          </w:p>
        </w:tc>
        <w:tc>
          <w:tcPr>
            <w:tcW w:w="757"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2019</w:t>
            </w:r>
          </w:p>
        </w:tc>
        <w:tc>
          <w:tcPr>
            <w:tcW w:w="759"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2020</w:t>
            </w:r>
          </w:p>
        </w:tc>
        <w:tc>
          <w:tcPr>
            <w:tcW w:w="759"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2021</w:t>
            </w:r>
          </w:p>
        </w:tc>
        <w:tc>
          <w:tcPr>
            <w:tcW w:w="768"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2022</w:t>
            </w:r>
          </w:p>
        </w:tc>
        <w:tc>
          <w:tcPr>
            <w:tcW w:w="755" w:type="dxa"/>
            <w:tcBorders>
              <w:top w:val="single" w:sz="8" w:space="0" w:color="000000"/>
              <w:start w:val="single" w:sz="8"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2023</w:t>
            </w:r>
          </w:p>
        </w:tc>
        <w:tc>
          <w:tcPr>
            <w:tcW w:w="754" w:type="dxa"/>
            <w:tcBorders>
              <w:top w:val="single" w:sz="8" w:space="0" w:color="000000"/>
              <w:start w:val="single" w:sz="8" w:space="0" w:color="000000"/>
              <w:bottom w:val="single" w:sz="4" w:space="0" w:color="000000"/>
              <w:end w:val="single" w:sz="8" w:space="0" w:color="000000"/>
            </w:tcBorders>
          </w:tcPr>
          <w:p>
            <w:pPr>
              <w:pStyle w:val="Normal"/>
              <w:widowControl w:val="false"/>
              <w:spacing w:lineRule="auto" w:line="240" w:before="0" w:after="0"/>
              <w:jc w:val="center"/>
              <w:rPr/>
            </w:pPr>
            <w:r>
              <w:rPr>
                <w:rFonts w:cs="Times New Roman" w:ascii="Times New Roman" w:hAnsi="Times New Roman"/>
                <w:sz w:val="20"/>
                <w:szCs w:val="20"/>
              </w:rPr>
              <w:t>2024</w:t>
            </w:r>
          </w:p>
        </w:tc>
      </w:tr>
      <w:tr>
        <w:trPr/>
        <w:tc>
          <w:tcPr>
            <w:tcW w:w="349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Бюджетні установи</w:t>
            </w:r>
          </w:p>
        </w:tc>
        <w:tc>
          <w:tcPr>
            <w:tcW w:w="75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54,9</w:t>
            </w:r>
          </w:p>
        </w:tc>
        <w:tc>
          <w:tcPr>
            <w:tcW w:w="75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53,5</w:t>
            </w:r>
          </w:p>
        </w:tc>
        <w:tc>
          <w:tcPr>
            <w:tcW w:w="75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46,9</w:t>
            </w:r>
          </w:p>
        </w:tc>
        <w:tc>
          <w:tcPr>
            <w:tcW w:w="75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49,2</w:t>
            </w:r>
          </w:p>
        </w:tc>
        <w:tc>
          <w:tcPr>
            <w:tcW w:w="75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42,6</w:t>
            </w:r>
          </w:p>
        </w:tc>
        <w:tc>
          <w:tcPr>
            <w:tcW w:w="76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41,7</w:t>
            </w:r>
          </w:p>
        </w:tc>
        <w:tc>
          <w:tcPr>
            <w:tcW w:w="755"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40,5</w:t>
            </w:r>
          </w:p>
        </w:tc>
        <w:tc>
          <w:tcPr>
            <w:tcW w:w="754" w:type="dxa"/>
            <w:tcBorders>
              <w:top w:val="single" w:sz="4" w:space="0" w:color="000000"/>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41,9</w:t>
            </w:r>
          </w:p>
        </w:tc>
      </w:tr>
      <w:tr>
        <w:trPr/>
        <w:tc>
          <w:tcPr>
            <w:tcW w:w="3498" w:type="dxa"/>
            <w:tcBorders>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Населення</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371,9</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390,7</w:t>
            </w:r>
          </w:p>
        </w:tc>
        <w:tc>
          <w:tcPr>
            <w:tcW w:w="75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296,4</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309,8</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318,9</w:t>
            </w:r>
          </w:p>
        </w:tc>
        <w:tc>
          <w:tcPr>
            <w:tcW w:w="768"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258,9</w:t>
            </w:r>
          </w:p>
        </w:tc>
        <w:tc>
          <w:tcPr>
            <w:tcW w:w="755"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256,1</w:t>
            </w:r>
          </w:p>
        </w:tc>
        <w:tc>
          <w:tcPr>
            <w:tcW w:w="754" w:type="dxa"/>
            <w:tcBorders>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261,5</w:t>
            </w:r>
          </w:p>
        </w:tc>
      </w:tr>
      <w:tr>
        <w:trPr/>
        <w:tc>
          <w:tcPr>
            <w:tcW w:w="3498" w:type="dxa"/>
            <w:tcBorders>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Промисловість</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5,9</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w:t>
            </w:r>
          </w:p>
        </w:tc>
        <w:tc>
          <w:tcPr>
            <w:tcW w:w="75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w:t>
            </w:r>
          </w:p>
        </w:tc>
        <w:tc>
          <w:tcPr>
            <w:tcW w:w="768"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w:t>
            </w:r>
          </w:p>
        </w:tc>
        <w:tc>
          <w:tcPr>
            <w:tcW w:w="755"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w:t>
            </w:r>
          </w:p>
        </w:tc>
        <w:tc>
          <w:tcPr>
            <w:tcW w:w="754" w:type="dxa"/>
            <w:tcBorders>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w:t>
            </w:r>
          </w:p>
        </w:tc>
      </w:tr>
      <w:tr>
        <w:trPr/>
        <w:tc>
          <w:tcPr>
            <w:tcW w:w="3498" w:type="dxa"/>
            <w:tcBorders>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Інші споживачі</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14,3</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18,3</w:t>
            </w:r>
          </w:p>
        </w:tc>
        <w:tc>
          <w:tcPr>
            <w:tcW w:w="75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11,9</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10,4</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12,1</w:t>
            </w:r>
          </w:p>
        </w:tc>
        <w:tc>
          <w:tcPr>
            <w:tcW w:w="768"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8,1</w:t>
            </w:r>
          </w:p>
        </w:tc>
        <w:tc>
          <w:tcPr>
            <w:tcW w:w="755"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10,4</w:t>
            </w:r>
          </w:p>
        </w:tc>
        <w:tc>
          <w:tcPr>
            <w:tcW w:w="754" w:type="dxa"/>
            <w:tcBorders>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9,2</w:t>
            </w:r>
          </w:p>
        </w:tc>
      </w:tr>
      <w:tr>
        <w:trPr/>
        <w:tc>
          <w:tcPr>
            <w:tcW w:w="3498" w:type="dxa"/>
            <w:tcBorders>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kern w:val="2"/>
                <w:sz w:val="20"/>
                <w:szCs w:val="20"/>
              </w:rPr>
              <w:t>Релігійні організації</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0,15</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0,17</w:t>
            </w:r>
          </w:p>
        </w:tc>
        <w:tc>
          <w:tcPr>
            <w:tcW w:w="75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0,77</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0,76</w:t>
            </w:r>
          </w:p>
        </w:tc>
        <w:tc>
          <w:tcPr>
            <w:tcW w:w="75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0,84</w:t>
            </w:r>
          </w:p>
        </w:tc>
        <w:tc>
          <w:tcPr>
            <w:tcW w:w="768"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kern w:val="2"/>
                <w:sz w:val="20"/>
                <w:szCs w:val="20"/>
              </w:rPr>
              <w:t>0,10</w:t>
            </w:r>
          </w:p>
        </w:tc>
        <w:tc>
          <w:tcPr>
            <w:tcW w:w="755"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sz w:val="20"/>
                <w:szCs w:val="20"/>
              </w:rPr>
              <w:t>0,12</w:t>
            </w:r>
          </w:p>
        </w:tc>
        <w:tc>
          <w:tcPr>
            <w:tcW w:w="754" w:type="dxa"/>
            <w:tcBorders>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0,14</w:t>
            </w:r>
          </w:p>
        </w:tc>
      </w:tr>
    </w:tbl>
    <w:p>
      <w:pPr>
        <w:pStyle w:val="Normal"/>
        <w:spacing w:lineRule="auto" w:line="240"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14">
            <wp:simplePos x="0" y="0"/>
            <wp:positionH relativeFrom="column">
              <wp:posOffset>937895</wp:posOffset>
            </wp:positionH>
            <wp:positionV relativeFrom="paragraph">
              <wp:posOffset>-22860</wp:posOffset>
            </wp:positionV>
            <wp:extent cx="4127500" cy="2188210"/>
            <wp:effectExtent l="0" t="0" r="0" b="0"/>
            <wp:wrapSquare wrapText="largest"/>
            <wp:docPr id="48" name="Об'єкт57"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both"/>
        <w:rPr/>
      </w:pPr>
      <w:r>
        <w:rPr>
          <w:rFonts w:eastAsia="NSimSun" w:cs="Times New Roman" w:ascii="Times New Roman" w:hAnsi="Times New Roman"/>
          <w:kern w:val="2"/>
          <w:sz w:val="24"/>
          <w:szCs w:val="24"/>
          <w:lang w:eastAsia="zh-CN" w:bidi="hi-IN"/>
        </w:rPr>
        <w:t> </w:t>
      </w:r>
    </w:p>
    <w:p>
      <w:pPr>
        <w:pStyle w:val="Normal"/>
        <w:spacing w:before="0" w:after="0"/>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eastAsia="NSimSun" w:cs="Times New Roman" w:ascii="Times New Roman" w:hAnsi="Times New Roman"/>
          <w:kern w:val="2"/>
          <w:sz w:val="24"/>
          <w:szCs w:val="24"/>
          <w:lang w:eastAsia="zh-CN" w:bidi="hi-IN"/>
        </w:rPr>
        <w:t xml:space="preserve">Рисунок </w:t>
      </w:r>
      <w:r>
        <w:rPr>
          <w:rFonts w:eastAsia="NSimSun" w:cs="Times New Roman" w:ascii="Times New Roman" w:hAnsi="Times New Roman"/>
          <w:color w:val="000000"/>
          <w:kern w:val="2"/>
          <w:sz w:val="24"/>
          <w:szCs w:val="24"/>
          <w:lang w:eastAsia="zh-CN" w:bidi="hi-IN"/>
        </w:rPr>
        <w:t>Д2.</w:t>
      </w:r>
      <w:r>
        <w:rPr>
          <w:rFonts w:eastAsia="NSimSun" w:cs="Times New Roman" w:ascii="Times New Roman" w:hAnsi="Times New Roman"/>
          <w:kern w:val="2"/>
          <w:sz w:val="24"/>
          <w:szCs w:val="24"/>
          <w:lang w:eastAsia="zh-CN" w:bidi="hi-IN"/>
        </w:rPr>
        <w:t>20. Споживання теплової енергії основними категоріями споживачів (тис. Гкал) </w:t>
      </w:r>
    </w:p>
    <w:p>
      <w:pPr>
        <w:pStyle w:val="Normal"/>
        <w:spacing w:before="0" w:after="0"/>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13">
            <wp:simplePos x="0" y="0"/>
            <wp:positionH relativeFrom="column">
              <wp:posOffset>1325245</wp:posOffset>
            </wp:positionH>
            <wp:positionV relativeFrom="paragraph">
              <wp:posOffset>126365</wp:posOffset>
            </wp:positionV>
            <wp:extent cx="3527425" cy="1986280"/>
            <wp:effectExtent l="0" t="0" r="0" b="0"/>
            <wp:wrapSquare wrapText="largest"/>
            <wp:docPr id="49" name="Об'єкт30"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anchor>
        </w:drawing>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center"/>
        <w:rPr/>
      </w:pPr>
      <w:r>
        <w:rPr>
          <w:rFonts w:eastAsia="NSimSun" w:cs="Times New Roman" w:ascii="Times New Roman" w:hAnsi="Times New Roman"/>
          <w:kern w:val="2"/>
          <w:sz w:val="24"/>
          <w:szCs w:val="24"/>
          <w:lang w:eastAsia="zh-CN" w:bidi="hi-IN"/>
        </w:rPr>
        <w:t xml:space="preserve">Рисунок </w:t>
      </w:r>
      <w:r>
        <w:rPr>
          <w:rFonts w:eastAsia="NSimSun" w:cs="Times New Roman" w:ascii="Times New Roman" w:hAnsi="Times New Roman"/>
          <w:color w:val="000000"/>
          <w:kern w:val="2"/>
          <w:sz w:val="24"/>
          <w:szCs w:val="24"/>
          <w:lang w:eastAsia="zh-CN" w:bidi="hi-IN"/>
        </w:rPr>
        <w:t>Д2.</w:t>
      </w:r>
      <w:r>
        <w:rPr>
          <w:rFonts w:eastAsia="NSimSun" w:cs="Times New Roman" w:ascii="Times New Roman" w:hAnsi="Times New Roman"/>
          <w:kern w:val="2"/>
          <w:sz w:val="24"/>
          <w:szCs w:val="24"/>
          <w:lang w:eastAsia="zh-CN" w:bidi="hi-IN"/>
        </w:rPr>
        <w:t xml:space="preserve">21. Теплоспоживання основними категоріями споживачів у 2024 році </w:t>
      </w:r>
    </w:p>
    <w:p>
      <w:pPr>
        <w:pStyle w:val="Normal"/>
        <w:spacing w:lineRule="auto" w:line="240" w:before="0" w:after="0"/>
        <w:ind w:firstLine="567"/>
        <w:jc w:val="both"/>
        <w:rPr/>
      </w:pPr>
      <w:r>
        <w:rPr>
          <w:rFonts w:eastAsia="NSimSun" w:cs="Times New Roman" w:ascii="Times New Roman" w:hAnsi="Times New Roman"/>
          <w:kern w:val="2"/>
          <w:sz w:val="24"/>
          <w:szCs w:val="24"/>
          <w:lang w:eastAsia="zh-CN" w:bidi="hi-IN"/>
        </w:rPr>
        <w:t xml:space="preserve">Показники витрат енергоресурсів на виробництво теплової енергії та ефективності виробництва приведено у таблицях </w:t>
      </w:r>
      <w:r>
        <w:rPr>
          <w:rFonts w:eastAsia="NSimSun" w:cs="Times New Roman" w:ascii="Times New Roman" w:hAnsi="Times New Roman"/>
          <w:color w:val="000000"/>
          <w:kern w:val="2"/>
          <w:sz w:val="24"/>
          <w:szCs w:val="24"/>
          <w:lang w:eastAsia="zh-CN" w:bidi="hi-IN"/>
        </w:rPr>
        <w:t>Д2.30 -</w:t>
      </w:r>
      <w:r>
        <w:rPr>
          <w:rFonts w:eastAsia="NSimSun" w:cs="Times New Roman" w:ascii="Times New Roman" w:hAnsi="Times New Roman"/>
          <w:kern w:val="2"/>
          <w:sz w:val="24"/>
          <w:szCs w:val="24"/>
          <w:lang w:eastAsia="zh-CN" w:bidi="hi-IN"/>
        </w:rPr>
        <w:t xml:space="preserve"> </w:t>
      </w:r>
      <w:r>
        <w:rPr>
          <w:rFonts w:eastAsia="NSimSun" w:cs="Times New Roman" w:ascii="Times New Roman" w:hAnsi="Times New Roman"/>
          <w:color w:val="000000"/>
          <w:kern w:val="2"/>
          <w:sz w:val="24"/>
          <w:szCs w:val="24"/>
          <w:lang w:eastAsia="zh-CN" w:bidi="hi-IN"/>
        </w:rPr>
        <w:t>Д2.32</w:t>
      </w:r>
      <w:r>
        <w:rPr>
          <w:rFonts w:eastAsia="NSimSun" w:cs="Times New Roman" w:ascii="Times New Roman" w:hAnsi="Times New Roman"/>
          <w:kern w:val="2"/>
          <w:sz w:val="24"/>
          <w:szCs w:val="24"/>
          <w:lang w:eastAsia="zh-CN" w:bidi="hi-IN"/>
        </w:rPr>
        <w:t>.</w:t>
      </w:r>
    </w:p>
    <w:p>
      <w:pPr>
        <w:pStyle w:val="Normal"/>
        <w:spacing w:lineRule="auto" w:line="240" w:before="0" w:after="0"/>
        <w:jc w:val="center"/>
        <w:rPr/>
      </w:pPr>
      <w:r>
        <w:rPr>
          <w:rFonts w:eastAsia="NSimSun" w:cs="Times New Roman" w:ascii="Times New Roman" w:hAnsi="Times New Roman"/>
          <w:color w:val="000000"/>
          <w:kern w:val="2"/>
          <w:sz w:val="24"/>
          <w:szCs w:val="24"/>
          <w:lang w:eastAsia="zh-CN" w:bidi="hi-IN"/>
        </w:rPr>
        <w:t xml:space="preserve">Таблиця Д2.30. Показники витрат енергоресурсів на виробництво теплової енергії </w:t>
      </w:r>
    </w:p>
    <w:tbl>
      <w:tblPr>
        <w:tblW w:w="9359" w:type="dxa"/>
        <w:jc w:val="start"/>
        <w:tblInd w:w="29" w:type="dxa"/>
        <w:tblLayout w:type="fixed"/>
        <w:tblCellMar>
          <w:top w:w="0" w:type="dxa"/>
          <w:start w:w="10" w:type="dxa"/>
          <w:bottom w:w="0" w:type="dxa"/>
          <w:end w:w="5" w:type="dxa"/>
        </w:tblCellMar>
        <w:tblLook w:firstRow="1" w:noVBand="1" w:lastRow="0" w:firstColumn="1" w:lastColumn="0" w:noHBand="0" w:val="04a0"/>
      </w:tblPr>
      <w:tblGrid>
        <w:gridCol w:w="2057"/>
        <w:gridCol w:w="911"/>
        <w:gridCol w:w="915"/>
        <w:gridCol w:w="911"/>
        <w:gridCol w:w="914"/>
        <w:gridCol w:w="912"/>
        <w:gridCol w:w="913"/>
        <w:gridCol w:w="920"/>
        <w:gridCol w:w="905"/>
      </w:tblGrid>
      <w:tr>
        <w:trPr/>
        <w:tc>
          <w:tcPr>
            <w:tcW w:w="2057" w:type="dxa"/>
            <w:vMerge w:val="restart"/>
            <w:tcBorders>
              <w:top w:val="single" w:sz="8" w:space="0" w:color="000000"/>
              <w:start w:val="single" w:sz="8"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Назва параметрів</w:t>
            </w:r>
          </w:p>
        </w:tc>
        <w:tc>
          <w:tcPr>
            <w:tcW w:w="7301" w:type="dxa"/>
            <w:gridSpan w:val="8"/>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Роки</w:t>
            </w:r>
          </w:p>
        </w:tc>
      </w:tr>
      <w:tr>
        <w:trPr/>
        <w:tc>
          <w:tcPr>
            <w:tcW w:w="2057" w:type="dxa"/>
            <w:vMerge w:val="continue"/>
            <w:tcBorders>
              <w:start w:val="single" w:sz="8" w:space="0" w:color="000000"/>
              <w:bottom w:val="single" w:sz="4" w:space="0" w:color="000000"/>
              <w:end w:val="single" w:sz="4" w:space="0" w:color="000000"/>
            </w:tcBorders>
          </w:tcPr>
          <w:p>
            <w:pPr>
              <w:pStyle w:val="Normal"/>
              <w:spacing w:before="0" w:after="200"/>
              <w:rPr>
                <w:rFonts w:ascii="Times New Roman" w:hAnsi="Times New Roman"/>
                <w:color w:val="000000"/>
                <w:sz w:val="20"/>
                <w:szCs w:val="20"/>
              </w:rPr>
            </w:pPr>
            <w:r>
              <w:rPr>
                <w:rFonts w:ascii="Times New Roman" w:hAnsi="Times New Roman"/>
                <w:color w:val="000000"/>
                <w:sz w:val="20"/>
                <w:szCs w:val="20"/>
              </w:rPr>
            </w:r>
          </w:p>
        </w:tc>
        <w:tc>
          <w:tcPr>
            <w:tcW w:w="91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2017</w:t>
            </w:r>
          </w:p>
        </w:tc>
        <w:tc>
          <w:tcPr>
            <w:tcW w:w="915"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2018</w:t>
            </w:r>
          </w:p>
        </w:tc>
        <w:tc>
          <w:tcPr>
            <w:tcW w:w="91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2019</w:t>
            </w:r>
          </w:p>
        </w:tc>
        <w:tc>
          <w:tcPr>
            <w:tcW w:w="914"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2020</w:t>
            </w:r>
          </w:p>
        </w:tc>
        <w:tc>
          <w:tcPr>
            <w:tcW w:w="9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2021</w:t>
            </w:r>
          </w:p>
        </w:tc>
        <w:tc>
          <w:tcPr>
            <w:tcW w:w="913"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2022</w:t>
            </w:r>
          </w:p>
        </w:tc>
        <w:tc>
          <w:tcPr>
            <w:tcW w:w="920"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2023</w:t>
            </w:r>
          </w:p>
        </w:tc>
        <w:tc>
          <w:tcPr>
            <w:tcW w:w="905" w:type="dxa"/>
            <w:tcBorders>
              <w:top w:val="single" w:sz="4" w:space="0" w:color="000000"/>
              <w:start w:val="single" w:sz="4" w:space="0" w:color="000000"/>
              <w:bottom w:val="single" w:sz="4" w:space="0" w:color="000000"/>
              <w:end w:val="single" w:sz="8" w:space="0" w:color="000000"/>
            </w:tcBorders>
          </w:tcPr>
          <w:p>
            <w:pPr>
              <w:pStyle w:val="Normal"/>
              <w:widowControl w:val="false"/>
              <w:spacing w:lineRule="auto" w:line="240" w:before="0" w:after="0"/>
              <w:jc w:val="center"/>
              <w:rPr/>
            </w:pPr>
            <w:r>
              <w:rPr>
                <w:rFonts w:ascii="Times New Roman" w:hAnsi="Times New Roman"/>
                <w:color w:val="000000"/>
                <w:sz w:val="20"/>
                <w:szCs w:val="20"/>
              </w:rPr>
              <w:t>2024</w:t>
            </w:r>
          </w:p>
        </w:tc>
      </w:tr>
      <w:tr>
        <w:trPr/>
        <w:tc>
          <w:tcPr>
            <w:tcW w:w="2057"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Виробництво теплової енергії, Гкал</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516272</w:t>
            </w:r>
          </w:p>
        </w:tc>
        <w:tc>
          <w:tcPr>
            <w:tcW w:w="915"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503316</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468361</w:t>
            </w:r>
          </w:p>
        </w:tc>
        <w:tc>
          <w:tcPr>
            <w:tcW w:w="914"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475905,8</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487869</w:t>
            </w:r>
          </w:p>
        </w:tc>
        <w:tc>
          <w:tcPr>
            <w:tcW w:w="91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401069,23</w:t>
            </w:r>
          </w:p>
        </w:tc>
        <w:tc>
          <w:tcPr>
            <w:tcW w:w="920"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405427,56</w:t>
            </w:r>
          </w:p>
        </w:tc>
        <w:tc>
          <w:tcPr>
            <w:tcW w:w="905" w:type="dxa"/>
            <w:tcBorders>
              <w:top w:val="single" w:sz="4" w:space="0" w:color="000000"/>
              <w:start w:val="single" w:sz="4" w:space="0" w:color="000000"/>
              <w:bottom w:val="single" w:sz="4" w:space="0" w:color="000000"/>
              <w:end w:val="single" w:sz="8" w:space="0" w:color="000000"/>
            </w:tcBorders>
            <w:vAlign w:val="center"/>
          </w:tcPr>
          <w:p>
            <w:pPr>
              <w:pStyle w:val="Style25"/>
              <w:spacing w:lineRule="auto" w:line="240" w:before="0" w:after="0"/>
              <w:jc w:val="center"/>
              <w:rPr/>
            </w:pPr>
            <w:r>
              <w:rPr>
                <w:rFonts w:ascii="Times New Roman" w:hAnsi="Times New Roman"/>
                <w:sz w:val="20"/>
                <w:szCs w:val="20"/>
              </w:rPr>
              <w:t>410173,15</w:t>
            </w:r>
          </w:p>
        </w:tc>
      </w:tr>
      <w:tr>
        <w:trPr/>
        <w:tc>
          <w:tcPr>
            <w:tcW w:w="20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Споживання газу, тис.м</w:t>
            </w:r>
            <w:r>
              <w:rPr>
                <w:rFonts w:eastAsia="Microsoft Sans Serif" w:cs="Times New Roman" w:ascii="Times New Roman" w:hAnsi="Times New Roman"/>
                <w:color w:val="000000"/>
                <w:kern w:val="2"/>
                <w:sz w:val="20"/>
                <w:szCs w:val="20"/>
                <w:vertAlign w:val="superscript"/>
              </w:rPr>
              <w:t>3</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69205,39</w:t>
            </w:r>
          </w:p>
        </w:tc>
        <w:tc>
          <w:tcPr>
            <w:tcW w:w="915"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68647,33</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61995,78</w:t>
            </w:r>
          </w:p>
        </w:tc>
        <w:tc>
          <w:tcPr>
            <w:tcW w:w="914"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60131,04</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63363,01</w:t>
            </w:r>
          </w:p>
        </w:tc>
        <w:tc>
          <w:tcPr>
            <w:tcW w:w="91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51697,95</w:t>
            </w:r>
          </w:p>
        </w:tc>
        <w:tc>
          <w:tcPr>
            <w:tcW w:w="920"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51419,95</w:t>
            </w:r>
          </w:p>
        </w:tc>
        <w:tc>
          <w:tcPr>
            <w:tcW w:w="905" w:type="dxa"/>
            <w:tcBorders>
              <w:top w:val="single" w:sz="4" w:space="0" w:color="000000"/>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sz w:val="20"/>
                <w:szCs w:val="20"/>
              </w:rPr>
              <w:t>52481,63</w:t>
            </w:r>
          </w:p>
        </w:tc>
      </w:tr>
      <w:tr>
        <w:trPr/>
        <w:tc>
          <w:tcPr>
            <w:tcW w:w="20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Споживання електроенергії,</w:t>
            </w:r>
          </w:p>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тис. кВт.год</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20183,87</w:t>
            </w:r>
          </w:p>
        </w:tc>
        <w:tc>
          <w:tcPr>
            <w:tcW w:w="915"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19962,97</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19332,24</w:t>
            </w:r>
          </w:p>
        </w:tc>
        <w:tc>
          <w:tcPr>
            <w:tcW w:w="914"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20253,21</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19519,43</w:t>
            </w:r>
          </w:p>
        </w:tc>
        <w:tc>
          <w:tcPr>
            <w:tcW w:w="91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16978,46</w:t>
            </w:r>
          </w:p>
        </w:tc>
        <w:tc>
          <w:tcPr>
            <w:tcW w:w="920"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14795,70</w:t>
            </w:r>
          </w:p>
        </w:tc>
        <w:tc>
          <w:tcPr>
            <w:tcW w:w="905" w:type="dxa"/>
            <w:tcBorders>
              <w:top w:val="single" w:sz="4" w:space="0" w:color="000000"/>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sz w:val="20"/>
                <w:szCs w:val="20"/>
              </w:rPr>
              <w:t>14428,33</w:t>
            </w:r>
          </w:p>
        </w:tc>
      </w:tr>
      <w:tr>
        <w:trPr/>
        <w:tc>
          <w:tcPr>
            <w:tcW w:w="20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Споживання тріски (тонн)</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w:t>
            </w:r>
          </w:p>
        </w:tc>
        <w:tc>
          <w:tcPr>
            <w:tcW w:w="915"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w:t>
            </w:r>
          </w:p>
        </w:tc>
        <w:tc>
          <w:tcPr>
            <w:tcW w:w="911"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3033,09</w:t>
            </w:r>
          </w:p>
        </w:tc>
        <w:tc>
          <w:tcPr>
            <w:tcW w:w="914"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10010,163</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9796,42</w:t>
            </w:r>
          </w:p>
        </w:tc>
        <w:tc>
          <w:tcPr>
            <w:tcW w:w="91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9272,09</w:t>
            </w:r>
          </w:p>
        </w:tc>
        <w:tc>
          <w:tcPr>
            <w:tcW w:w="920"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12446,91</w:t>
            </w:r>
          </w:p>
        </w:tc>
        <w:tc>
          <w:tcPr>
            <w:tcW w:w="905" w:type="dxa"/>
            <w:tcBorders>
              <w:top w:val="single" w:sz="4" w:space="0" w:color="000000"/>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sz w:val="20"/>
                <w:szCs w:val="20"/>
              </w:rPr>
              <w:t>11427,66</w:t>
            </w:r>
          </w:p>
        </w:tc>
      </w:tr>
    </w:tbl>
    <w:p>
      <w:pPr>
        <w:pStyle w:val="Normal"/>
        <w:spacing w:before="0" w:after="0"/>
        <w:jc w:val="center"/>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jc w:val="center"/>
        <w:rPr/>
      </w:pPr>
      <w:r>
        <w:rPr>
          <w:rFonts w:eastAsia="NSimSun" w:cs="Times New Roman" w:ascii="Times New Roman" w:hAnsi="Times New Roman"/>
          <w:color w:val="000000"/>
          <w:kern w:val="2"/>
          <w:sz w:val="24"/>
          <w:szCs w:val="24"/>
          <w:lang w:bidi="hi-IN"/>
        </w:rPr>
        <w:t xml:space="preserve">Таблиця </w:t>
      </w:r>
      <w:r>
        <w:rPr>
          <w:rFonts w:eastAsia="NSimSun" w:cs="Times New Roman" w:ascii="Times New Roman" w:hAnsi="Times New Roman"/>
          <w:color w:val="000000"/>
          <w:kern w:val="2"/>
          <w:sz w:val="24"/>
          <w:szCs w:val="24"/>
          <w:lang w:eastAsia="zh-CN" w:bidi="hi-IN"/>
        </w:rPr>
        <w:t>Д2.31</w:t>
      </w:r>
      <w:r>
        <w:rPr>
          <w:rFonts w:eastAsia="NSimSun" w:cs="Times New Roman" w:ascii="Times New Roman" w:hAnsi="Times New Roman"/>
          <w:color w:val="000000"/>
          <w:kern w:val="2"/>
          <w:sz w:val="24"/>
          <w:szCs w:val="24"/>
          <w:lang w:bidi="hi-IN"/>
        </w:rPr>
        <w:t xml:space="preserve">. Питомі показники витрат енергоресурсів та показники ефективності виробництва тепла </w:t>
      </w:r>
    </w:p>
    <w:tbl>
      <w:tblPr>
        <w:tblW w:w="9314" w:type="dxa"/>
        <w:jc w:val="start"/>
        <w:tblInd w:w="89" w:type="dxa"/>
        <w:tblLayout w:type="fixed"/>
        <w:tblCellMar>
          <w:top w:w="0" w:type="dxa"/>
          <w:start w:w="10" w:type="dxa"/>
          <w:bottom w:w="0" w:type="dxa"/>
          <w:end w:w="5" w:type="dxa"/>
        </w:tblCellMar>
        <w:tblLook w:firstRow="1" w:noVBand="1" w:lastRow="0" w:firstColumn="1" w:lastColumn="0" w:noHBand="0" w:val="04a0"/>
      </w:tblPr>
      <w:tblGrid>
        <w:gridCol w:w="1887"/>
        <w:gridCol w:w="933"/>
        <w:gridCol w:w="927"/>
        <w:gridCol w:w="927"/>
        <w:gridCol w:w="930"/>
        <w:gridCol w:w="926"/>
        <w:gridCol w:w="928"/>
        <w:gridCol w:w="932"/>
        <w:gridCol w:w="923"/>
      </w:tblGrid>
      <w:tr>
        <w:trPr/>
        <w:tc>
          <w:tcPr>
            <w:tcW w:w="1887" w:type="dxa"/>
            <w:vMerge w:val="restart"/>
            <w:tcBorders>
              <w:top w:val="single" w:sz="8" w:space="0" w:color="000000"/>
              <w:start w:val="single" w:sz="8"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Назва параметрів</w:t>
            </w:r>
          </w:p>
        </w:tc>
        <w:tc>
          <w:tcPr>
            <w:tcW w:w="7426" w:type="dxa"/>
            <w:gridSpan w:val="8"/>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Роки</w:t>
            </w:r>
          </w:p>
        </w:tc>
      </w:tr>
      <w:tr>
        <w:trPr/>
        <w:tc>
          <w:tcPr>
            <w:tcW w:w="1887" w:type="dxa"/>
            <w:vMerge w:val="continue"/>
            <w:tcBorders>
              <w:start w:val="single" w:sz="8" w:space="0" w:color="000000"/>
              <w:bottom w:val="single" w:sz="4" w:space="0" w:color="000000"/>
              <w:end w:val="single" w:sz="4" w:space="0" w:color="000000"/>
            </w:tcBorders>
          </w:tcPr>
          <w:p>
            <w:pPr>
              <w:pStyle w:val="Normal"/>
              <w:spacing w:lineRule="auto" w:line="240" w:before="0" w:after="200"/>
              <w:rPr>
                <w:rFonts w:ascii="Times New Roman" w:hAnsi="Times New Roman"/>
                <w:color w:val="000000"/>
                <w:sz w:val="20"/>
                <w:szCs w:val="20"/>
              </w:rPr>
            </w:pPr>
            <w:r>
              <w:rPr>
                <w:rFonts w:ascii="Times New Roman" w:hAnsi="Times New Roman"/>
                <w:color w:val="000000"/>
                <w:sz w:val="20"/>
                <w:szCs w:val="20"/>
              </w:rPr>
            </w:r>
          </w:p>
        </w:tc>
        <w:tc>
          <w:tcPr>
            <w:tcW w:w="933"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2017</w:t>
            </w:r>
          </w:p>
        </w:tc>
        <w:tc>
          <w:tcPr>
            <w:tcW w:w="927"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2018</w:t>
            </w:r>
          </w:p>
        </w:tc>
        <w:tc>
          <w:tcPr>
            <w:tcW w:w="92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2019</w:t>
            </w:r>
          </w:p>
        </w:tc>
        <w:tc>
          <w:tcPr>
            <w:tcW w:w="930"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2020</w:t>
            </w:r>
          </w:p>
        </w:tc>
        <w:tc>
          <w:tcPr>
            <w:tcW w:w="9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color w:val="000000"/>
                <w:sz w:val="20"/>
                <w:szCs w:val="20"/>
              </w:rPr>
              <w:t>2021</w:t>
            </w:r>
          </w:p>
        </w:tc>
        <w:tc>
          <w:tcPr>
            <w:tcW w:w="928"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2022</w:t>
            </w:r>
          </w:p>
        </w:tc>
        <w:tc>
          <w:tcPr>
            <w:tcW w:w="932"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2023</w:t>
            </w:r>
          </w:p>
        </w:tc>
        <w:tc>
          <w:tcPr>
            <w:tcW w:w="923" w:type="dxa"/>
            <w:tcBorders>
              <w:top w:val="single" w:sz="4" w:space="0" w:color="000000"/>
              <w:start w:val="single" w:sz="4" w:space="0" w:color="000000"/>
              <w:bottom w:val="single" w:sz="4" w:space="0" w:color="000000"/>
              <w:end w:val="single" w:sz="8" w:space="0" w:color="000000"/>
            </w:tcBorders>
          </w:tcPr>
          <w:p>
            <w:pPr>
              <w:pStyle w:val="Normal"/>
              <w:widowControl w:val="false"/>
              <w:spacing w:lineRule="auto" w:line="240" w:before="0" w:after="0"/>
              <w:jc w:val="center"/>
              <w:rPr/>
            </w:pPr>
            <w:r>
              <w:rPr>
                <w:rFonts w:ascii="Times New Roman" w:hAnsi="Times New Roman"/>
                <w:sz w:val="20"/>
                <w:szCs w:val="20"/>
              </w:rPr>
              <w:t>2024</w:t>
            </w:r>
          </w:p>
        </w:tc>
      </w:tr>
      <w:tr>
        <w:trPr/>
        <w:tc>
          <w:tcPr>
            <w:tcW w:w="1887"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Споживання газу, т.у.п.</w:t>
            </w:r>
          </w:p>
        </w:tc>
        <w:tc>
          <w:tcPr>
            <w:tcW w:w="93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81267,69</w:t>
            </w:r>
          </w:p>
        </w:tc>
        <w:tc>
          <w:tcPr>
            <w:tcW w:w="92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80517,46</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72780,35</w:t>
            </w:r>
          </w:p>
        </w:tc>
        <w:tc>
          <w:tcPr>
            <w:tcW w:w="930"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70591,72</w:t>
            </w:r>
          </w:p>
        </w:tc>
        <w:tc>
          <w:tcPr>
            <w:tcW w:w="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74559,12</w:t>
            </w:r>
          </w:p>
        </w:tc>
        <w:tc>
          <w:tcPr>
            <w:tcW w:w="92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60802,34</w:t>
            </w:r>
          </w:p>
        </w:tc>
        <w:tc>
          <w:tcPr>
            <w:tcW w:w="932"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60511,59</w:t>
            </w:r>
          </w:p>
        </w:tc>
        <w:tc>
          <w:tcPr>
            <w:tcW w:w="923"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62084,18</w:t>
            </w:r>
          </w:p>
        </w:tc>
      </w:tr>
      <w:tr>
        <w:trPr/>
        <w:tc>
          <w:tcPr>
            <w:tcW w:w="1887"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shd w:fill="FFFFFF" w:val="clear"/>
              </w:rPr>
              <w:t>Споживання електроенергії,</w:t>
            </w:r>
          </w:p>
          <w:p>
            <w:pPr>
              <w:pStyle w:val="Normal"/>
              <w:widowControl w:val="false"/>
              <w:spacing w:lineRule="auto" w:line="240" w:before="0" w:after="0"/>
              <w:rPr/>
            </w:pPr>
            <w:r>
              <w:rPr>
                <w:rFonts w:eastAsia="Microsoft Sans Serif" w:cs="Times New Roman" w:ascii="Times New Roman" w:hAnsi="Times New Roman"/>
                <w:color w:val="000000"/>
                <w:kern w:val="2"/>
                <w:sz w:val="20"/>
                <w:szCs w:val="20"/>
                <w:shd w:fill="FFFFFF" w:val="clear"/>
              </w:rPr>
              <w:t xml:space="preserve"> </w:t>
            </w:r>
            <w:r>
              <w:rPr>
                <w:rFonts w:eastAsia="Microsoft Sans Serif" w:cs="Times New Roman" w:ascii="Times New Roman" w:hAnsi="Times New Roman"/>
                <w:color w:val="000000"/>
                <w:kern w:val="2"/>
                <w:sz w:val="20"/>
                <w:szCs w:val="20"/>
                <w:shd w:fill="FFFFFF" w:val="clear"/>
              </w:rPr>
              <w:t>тис.кВт.год</w:t>
            </w:r>
          </w:p>
        </w:tc>
        <w:tc>
          <w:tcPr>
            <w:tcW w:w="93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20183,87</w:t>
            </w:r>
          </w:p>
        </w:tc>
        <w:tc>
          <w:tcPr>
            <w:tcW w:w="92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19962,97</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19332,24</w:t>
            </w:r>
          </w:p>
        </w:tc>
        <w:tc>
          <w:tcPr>
            <w:tcW w:w="930"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20253,21</w:t>
            </w:r>
          </w:p>
        </w:tc>
        <w:tc>
          <w:tcPr>
            <w:tcW w:w="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19519,43</w:t>
            </w:r>
          </w:p>
        </w:tc>
        <w:tc>
          <w:tcPr>
            <w:tcW w:w="92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16978,46</w:t>
            </w:r>
          </w:p>
        </w:tc>
        <w:tc>
          <w:tcPr>
            <w:tcW w:w="932"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shd w:fill="FFFFFF" w:val="clear"/>
              </w:rPr>
              <w:t>14795,70</w:t>
            </w:r>
          </w:p>
        </w:tc>
        <w:tc>
          <w:tcPr>
            <w:tcW w:w="923"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14428,34</w:t>
            </w:r>
          </w:p>
        </w:tc>
      </w:tr>
      <w:tr>
        <w:trPr/>
        <w:tc>
          <w:tcPr>
            <w:tcW w:w="1887"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Споживання тріски (т.у.п.)</w:t>
            </w:r>
          </w:p>
        </w:tc>
        <w:tc>
          <w:tcPr>
            <w:tcW w:w="93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w:t>
            </w:r>
          </w:p>
        </w:tc>
        <w:tc>
          <w:tcPr>
            <w:tcW w:w="92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1049,05</w:t>
            </w:r>
          </w:p>
        </w:tc>
        <w:tc>
          <w:tcPr>
            <w:tcW w:w="930"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3688,81</w:t>
            </w:r>
          </w:p>
        </w:tc>
        <w:tc>
          <w:tcPr>
            <w:tcW w:w="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3639,07</w:t>
            </w:r>
          </w:p>
        </w:tc>
        <w:tc>
          <w:tcPr>
            <w:tcW w:w="92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3282,84</w:t>
            </w:r>
          </w:p>
        </w:tc>
        <w:tc>
          <w:tcPr>
            <w:tcW w:w="932"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4141,08</w:t>
            </w:r>
          </w:p>
        </w:tc>
        <w:tc>
          <w:tcPr>
            <w:tcW w:w="923"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4004,23</w:t>
            </w:r>
          </w:p>
        </w:tc>
      </w:tr>
      <w:tr>
        <w:trPr/>
        <w:tc>
          <w:tcPr>
            <w:tcW w:w="1887" w:type="dxa"/>
            <w:tcBorders>
              <w:top w:val="single" w:sz="4" w:space="0" w:color="000000"/>
              <w:start w:val="single" w:sz="8" w:space="0" w:color="000000"/>
              <w:bottom w:val="single" w:sz="4"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Питомі витрати умовного палива на 1 Гкал теплової енергії, відпущеної з котелень</w:t>
            </w:r>
          </w:p>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(кг у.п./Гкал)</w:t>
            </w:r>
          </w:p>
        </w:tc>
        <w:tc>
          <w:tcPr>
            <w:tcW w:w="933"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168,68</w:t>
            </w:r>
          </w:p>
        </w:tc>
        <w:tc>
          <w:tcPr>
            <w:tcW w:w="927"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163,37</w:t>
            </w:r>
          </w:p>
        </w:tc>
        <w:tc>
          <w:tcPr>
            <w:tcW w:w="9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158,71</w:t>
            </w:r>
          </w:p>
        </w:tc>
        <w:tc>
          <w:tcPr>
            <w:tcW w:w="930"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159,45</w:t>
            </w:r>
          </w:p>
        </w:tc>
        <w:tc>
          <w:tcPr>
            <w:tcW w:w="9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163,76</w:t>
            </w:r>
          </w:p>
        </w:tc>
        <w:tc>
          <w:tcPr>
            <w:tcW w:w="928"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163,27</w:t>
            </w:r>
          </w:p>
        </w:tc>
        <w:tc>
          <w:tcPr>
            <w:tcW w:w="932" w:type="dxa"/>
            <w:tcBorders>
              <w:top w:val="single" w:sz="4" w:space="0" w:color="000000"/>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163,72</w:t>
            </w:r>
          </w:p>
        </w:tc>
        <w:tc>
          <w:tcPr>
            <w:tcW w:w="923" w:type="dxa"/>
            <w:tcBorders>
              <w:top w:val="single" w:sz="4" w:space="0" w:color="000000"/>
              <w:start w:val="single" w:sz="4" w:space="0" w:color="000000"/>
              <w:bottom w:val="single" w:sz="4" w:space="0" w:color="000000"/>
              <w:end w:val="single" w:sz="8" w:space="0" w:color="000000"/>
            </w:tcBorders>
            <w:vAlign w:val="center"/>
          </w:tcPr>
          <w:p>
            <w:pPr>
              <w:pStyle w:val="TableParagraph"/>
              <w:widowControl w:val="false"/>
              <w:jc w:val="center"/>
              <w:rPr/>
            </w:pPr>
            <w:r>
              <w:rPr>
                <w:rFonts w:ascii="Times New Roman" w:hAnsi="Times New Roman"/>
                <w:sz w:val="20"/>
                <w:szCs w:val="20"/>
              </w:rPr>
              <w:t>164,63</w:t>
            </w:r>
          </w:p>
        </w:tc>
      </w:tr>
      <w:tr>
        <w:trPr/>
        <w:tc>
          <w:tcPr>
            <w:tcW w:w="1887" w:type="dxa"/>
            <w:tcBorders>
              <w:top w:val="single" w:sz="4" w:space="0" w:color="000000"/>
              <w:start w:val="single" w:sz="8" w:space="0" w:color="000000"/>
              <w:bottom w:val="single" w:sz="8" w:space="0" w:color="000000"/>
              <w:end w:val="single" w:sz="4"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Питомі витрати електроенергії на виробництво 1 Гкал теплової</w:t>
            </w:r>
          </w:p>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енергії, відпущеної з котелень  (кВт.год/Гкал)</w:t>
            </w:r>
          </w:p>
        </w:tc>
        <w:tc>
          <w:tcPr>
            <w:tcW w:w="933"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40,19</w:t>
            </w:r>
          </w:p>
        </w:tc>
        <w:tc>
          <w:tcPr>
            <w:tcW w:w="927"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40,89</w:t>
            </w:r>
          </w:p>
        </w:tc>
        <w:tc>
          <w:tcPr>
            <w:tcW w:w="927" w:type="dxa"/>
            <w:tcBorders>
              <w:top w:val="single" w:sz="4" w:space="0" w:color="000000"/>
              <w:start w:val="single" w:sz="4" w:space="0" w:color="000000"/>
              <w:bottom w:val="single" w:sz="8"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42,5</w:t>
            </w:r>
          </w:p>
        </w:tc>
        <w:tc>
          <w:tcPr>
            <w:tcW w:w="930"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43,51</w:t>
            </w:r>
          </w:p>
        </w:tc>
        <w:tc>
          <w:tcPr>
            <w:tcW w:w="926" w:type="dxa"/>
            <w:tcBorders>
              <w:top w:val="single" w:sz="4" w:space="0" w:color="000000"/>
              <w:start w:val="single" w:sz="4" w:space="0" w:color="000000"/>
              <w:bottom w:val="single" w:sz="8"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41,28</w:t>
            </w:r>
          </w:p>
        </w:tc>
        <w:tc>
          <w:tcPr>
            <w:tcW w:w="928" w:type="dxa"/>
            <w:tcBorders>
              <w:top w:val="single" w:sz="4" w:space="0" w:color="000000"/>
              <w:start w:val="single" w:sz="4"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43,28</w:t>
            </w:r>
          </w:p>
        </w:tc>
        <w:tc>
          <w:tcPr>
            <w:tcW w:w="932" w:type="dxa"/>
            <w:tcBorders>
              <w:top w:val="single" w:sz="4" w:space="0" w:color="000000"/>
              <w:start w:val="single" w:sz="4" w:space="0" w:color="000000"/>
              <w:bottom w:val="single" w:sz="8" w:space="0" w:color="000000"/>
            </w:tcBorders>
            <w:vAlign w:val="center"/>
          </w:tcPr>
          <w:p>
            <w:pPr>
              <w:pStyle w:val="TableParagraph"/>
              <w:widowControl w:val="false"/>
              <w:jc w:val="center"/>
              <w:rPr/>
            </w:pPr>
            <w:r>
              <w:rPr>
                <w:rFonts w:ascii="Times New Roman" w:hAnsi="Times New Roman"/>
                <w:color w:val="000000"/>
                <w:sz w:val="20"/>
                <w:szCs w:val="20"/>
              </w:rPr>
              <w:t>37,31</w:t>
            </w:r>
          </w:p>
        </w:tc>
        <w:tc>
          <w:tcPr>
            <w:tcW w:w="923" w:type="dxa"/>
            <w:tcBorders>
              <w:top w:val="single" w:sz="4" w:space="0" w:color="000000"/>
              <w:start w:val="single" w:sz="4"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35,97</w:t>
            </w:r>
          </w:p>
        </w:tc>
      </w:tr>
    </w:tbl>
    <w:p>
      <w:pPr>
        <w:pStyle w:val="Normal"/>
        <w:spacing w:before="0" w:after="0"/>
        <w:jc w:val="center"/>
        <w:rPr>
          <w:color w:val="000000"/>
        </w:rPr>
      </w:pPr>
      <w:r>
        <w:rPr>
          <w:color w:val="000000"/>
        </w:rPr>
      </w:r>
    </w:p>
    <w:p>
      <w:pPr>
        <w:pStyle w:val="Normal"/>
        <w:spacing w:before="0" w:after="0"/>
        <w:jc w:val="center"/>
        <w:rPr>
          <w:rFonts w:ascii="Times New Roman" w:hAnsi="Times New Roman"/>
          <w:color w:val="000000"/>
        </w:rPr>
      </w:pPr>
      <w:r>
        <w:rPr>
          <w:rFonts w:ascii="Times New Roman" w:hAnsi="Times New Roman"/>
          <w:color w:val="000000"/>
        </w:rPr>
      </w:r>
    </w:p>
    <w:p>
      <w:pPr>
        <w:pStyle w:val="Normal"/>
        <w:spacing w:before="0" w:after="0"/>
        <w:jc w:val="center"/>
        <w:rPr>
          <w:rFonts w:ascii="Times New Roman" w:hAnsi="Times New Roman"/>
          <w:color w:val="000000"/>
        </w:rPr>
      </w:pPr>
      <w:r>
        <w:rPr>
          <w:rFonts w:ascii="Times New Roman" w:hAnsi="Times New Roman"/>
          <w:color w:val="000000"/>
        </w:rPr>
      </w:r>
    </w:p>
    <w:p>
      <w:pPr>
        <w:pStyle w:val="Normal"/>
        <w:spacing w:before="0" w:after="0"/>
        <w:jc w:val="center"/>
        <w:rPr/>
      </w:pPr>
      <w:r>
        <w:rPr>
          <w:rFonts w:eastAsia="NSimSun" w:cs="Times New Roman" w:ascii="Times New Roman" w:hAnsi="Times New Roman"/>
          <w:color w:val="000000"/>
          <w:kern w:val="2"/>
          <w:lang w:eastAsia="zh-CN" w:bidi="hi-IN"/>
        </w:rPr>
        <w:t xml:space="preserve">Таблиця </w:t>
      </w:r>
      <w:r>
        <w:rPr>
          <w:rFonts w:eastAsia="NSimSun" w:cs="Times New Roman" w:ascii="Times New Roman" w:hAnsi="Times New Roman"/>
          <w:color w:val="000000"/>
          <w:kern w:val="2"/>
          <w:sz w:val="24"/>
          <w:szCs w:val="24"/>
          <w:lang w:eastAsia="zh-CN" w:bidi="hi-IN"/>
        </w:rPr>
        <w:t>Д2.32.</w:t>
      </w:r>
      <w:r>
        <w:rPr>
          <w:rFonts w:eastAsia="NSimSun" w:cs="Times New Roman" w:ascii="Times New Roman" w:hAnsi="Times New Roman"/>
          <w:color w:val="000000"/>
          <w:kern w:val="2"/>
          <w:lang w:eastAsia="zh-CN" w:bidi="hi-IN"/>
        </w:rPr>
        <w:t xml:space="preserve"> Ефективність виробництва та транспортування теплової енергії в системі централізованого теплопостачання  </w:t>
      </w:r>
    </w:p>
    <w:tbl>
      <w:tblPr>
        <w:tblW w:w="9525" w:type="dxa"/>
        <w:jc w:val="start"/>
        <w:tblInd w:w="138" w:type="dxa"/>
        <w:tblLayout w:type="fixed"/>
        <w:tblCellMar>
          <w:top w:w="55" w:type="dxa"/>
          <w:start w:w="55" w:type="dxa"/>
          <w:bottom w:w="55" w:type="dxa"/>
          <w:end w:w="55" w:type="dxa"/>
        </w:tblCellMar>
        <w:tblLook w:firstRow="1" w:noVBand="1" w:lastRow="0" w:firstColumn="1" w:lastColumn="0" w:noHBand="0" w:val="04a0"/>
      </w:tblPr>
      <w:tblGrid>
        <w:gridCol w:w="1994"/>
        <w:gridCol w:w="922"/>
        <w:gridCol w:w="922"/>
        <w:gridCol w:w="922"/>
        <w:gridCol w:w="922"/>
        <w:gridCol w:w="922"/>
        <w:gridCol w:w="922"/>
        <w:gridCol w:w="922"/>
        <w:gridCol w:w="1076"/>
      </w:tblGrid>
      <w:tr>
        <w:trPr/>
        <w:tc>
          <w:tcPr>
            <w:tcW w:w="1994" w:type="dxa"/>
            <w:vMerge w:val="restart"/>
            <w:tcBorders>
              <w:top w:val="single" w:sz="8" w:space="0" w:color="000000"/>
              <w:start w:val="single" w:sz="8" w:space="0" w:color="000000"/>
              <w:bottom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Назва параметрів</w:t>
            </w:r>
          </w:p>
        </w:tc>
        <w:tc>
          <w:tcPr>
            <w:tcW w:w="7530" w:type="dxa"/>
            <w:gridSpan w:val="8"/>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Роки</w:t>
            </w:r>
          </w:p>
        </w:tc>
      </w:tr>
      <w:tr>
        <w:trPr/>
        <w:tc>
          <w:tcPr>
            <w:tcW w:w="1994" w:type="dxa"/>
            <w:vMerge w:val="continue"/>
            <w:tcBorders>
              <w:start w:val="single" w:sz="8" w:space="0" w:color="000000"/>
              <w:bottom w:val="single" w:sz="8" w:space="0" w:color="000000"/>
            </w:tcBorders>
          </w:tcPr>
          <w:p>
            <w:pPr>
              <w:pStyle w:val="Normal"/>
              <w:spacing w:lineRule="auto" w:line="240" w:before="0" w:after="200"/>
              <w:rPr>
                <w:rFonts w:ascii="Times New Roman" w:hAnsi="Times New Roman"/>
                <w:color w:val="000000"/>
                <w:sz w:val="20"/>
                <w:szCs w:val="20"/>
              </w:rPr>
            </w:pPr>
            <w:r>
              <w:rPr>
                <w:rFonts w:ascii="Times New Roman" w:hAnsi="Times New Roman"/>
                <w:color w:val="000000"/>
                <w:sz w:val="20"/>
                <w:szCs w:val="20"/>
              </w:rPr>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2017</w:t>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ascii="Times New Roman" w:hAnsi="Times New Roman"/>
                <w:color w:val="000000"/>
                <w:sz w:val="20"/>
                <w:szCs w:val="20"/>
              </w:rPr>
              <w:t>2018</w:t>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ascii="Times New Roman" w:hAnsi="Times New Roman"/>
                <w:color w:val="000000"/>
                <w:sz w:val="20"/>
                <w:szCs w:val="20"/>
              </w:rPr>
              <w:t>2019</w:t>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2020</w:t>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ascii="Times New Roman" w:hAnsi="Times New Roman"/>
                <w:color w:val="000000"/>
                <w:sz w:val="20"/>
                <w:szCs w:val="20"/>
              </w:rPr>
              <w:t>2021</w:t>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2022</w:t>
            </w:r>
          </w:p>
        </w:tc>
        <w:tc>
          <w:tcPr>
            <w:tcW w:w="922" w:type="dxa"/>
            <w:tcBorders>
              <w:start w:val="single" w:sz="8" w:space="0" w:color="000000"/>
              <w:bottom w:val="single" w:sz="8" w:space="0" w:color="000000"/>
            </w:tcBorders>
          </w:tcPr>
          <w:p>
            <w:pPr>
              <w:pStyle w:val="Normal"/>
              <w:widowControl w:val="false"/>
              <w:spacing w:lineRule="auto" w:line="240" w:before="0" w:after="0"/>
              <w:jc w:val="center"/>
              <w:rPr/>
            </w:pPr>
            <w:r>
              <w:rPr>
                <w:rFonts w:cs="Times New Roman" w:ascii="Times New Roman" w:hAnsi="Times New Roman"/>
                <w:color w:val="000000"/>
                <w:sz w:val="20"/>
                <w:szCs w:val="20"/>
              </w:rPr>
              <w:t>2023</w:t>
            </w:r>
          </w:p>
        </w:tc>
        <w:tc>
          <w:tcPr>
            <w:tcW w:w="1076" w:type="dxa"/>
            <w:tcBorders>
              <w:start w:val="single" w:sz="8" w:space="0" w:color="000000"/>
              <w:bottom w:val="single" w:sz="8" w:space="0" w:color="000000"/>
              <w:end w:val="single" w:sz="8" w:space="0" w:color="000000"/>
            </w:tcBorders>
          </w:tcPr>
          <w:p>
            <w:pPr>
              <w:pStyle w:val="Normal"/>
              <w:widowControl w:val="false"/>
              <w:spacing w:lineRule="auto" w:line="240" w:before="0" w:after="0"/>
              <w:jc w:val="center"/>
              <w:rPr/>
            </w:pPr>
            <w:r>
              <w:rPr>
                <w:rFonts w:ascii="Times New Roman" w:hAnsi="Times New Roman"/>
                <w:sz w:val="20"/>
                <w:szCs w:val="20"/>
              </w:rPr>
              <w:t>2024</w:t>
            </w:r>
          </w:p>
        </w:tc>
      </w:tr>
      <w:tr>
        <w:trPr/>
        <w:tc>
          <w:tcPr>
            <w:tcW w:w="1994" w:type="dxa"/>
            <w:tcBorders>
              <w:start w:val="single" w:sz="8" w:space="0" w:color="000000"/>
              <w:bottom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Споживання палива, т.у.п.</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81267,69</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80517,46</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73829,40</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74282,06</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78198,20</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64086,13</w:t>
            </w:r>
          </w:p>
        </w:tc>
        <w:tc>
          <w:tcPr>
            <w:tcW w:w="922" w:type="dxa"/>
            <w:tcBorders>
              <w:start w:val="single" w:sz="8" w:space="0" w:color="000000"/>
              <w:bottom w:val="single" w:sz="8" w:space="0" w:color="000000"/>
            </w:tcBorders>
            <w:vAlign w:val="center"/>
          </w:tcPr>
          <w:p>
            <w:pPr>
              <w:pStyle w:val="TableParagraph"/>
              <w:widowControl w:val="false"/>
              <w:jc w:val="center"/>
              <w:rPr/>
            </w:pPr>
            <w:r>
              <w:rPr>
                <w:rFonts w:ascii="Times New Roman" w:hAnsi="Times New Roman"/>
                <w:color w:val="000000"/>
                <w:sz w:val="20"/>
                <w:szCs w:val="20"/>
              </w:rPr>
              <w:t>64968,02</w:t>
            </w:r>
          </w:p>
        </w:tc>
        <w:tc>
          <w:tcPr>
            <w:tcW w:w="1076" w:type="dxa"/>
            <w:tcBorders>
              <w:start w:val="single" w:sz="8"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66088,42</w:t>
            </w:r>
          </w:p>
        </w:tc>
      </w:tr>
      <w:tr>
        <w:trPr/>
        <w:tc>
          <w:tcPr>
            <w:tcW w:w="1994" w:type="dxa"/>
            <w:tcBorders>
              <w:start w:val="single" w:sz="8" w:space="0" w:color="000000"/>
              <w:bottom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Тепловий потенціал палива, Гкал</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568873</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563622</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509462</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519964</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521667</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425629,2</w:t>
            </w:r>
          </w:p>
        </w:tc>
        <w:tc>
          <w:tcPr>
            <w:tcW w:w="922" w:type="dxa"/>
            <w:tcBorders>
              <w:start w:val="single" w:sz="8" w:space="0" w:color="000000"/>
              <w:bottom w:val="single" w:sz="8" w:space="0" w:color="000000"/>
            </w:tcBorders>
            <w:vAlign w:val="center"/>
          </w:tcPr>
          <w:p>
            <w:pPr>
              <w:pStyle w:val="TableParagraph"/>
              <w:widowControl w:val="false"/>
              <w:jc w:val="center"/>
              <w:rPr/>
            </w:pPr>
            <w:r>
              <w:rPr>
                <w:rFonts w:ascii="Times New Roman" w:hAnsi="Times New Roman"/>
                <w:color w:val="000000"/>
                <w:sz w:val="20"/>
                <w:szCs w:val="20"/>
              </w:rPr>
              <w:t>432255,6</w:t>
            </w:r>
          </w:p>
        </w:tc>
        <w:tc>
          <w:tcPr>
            <w:tcW w:w="1076" w:type="dxa"/>
            <w:tcBorders>
              <w:start w:val="single" w:sz="8"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460847,70</w:t>
            </w:r>
          </w:p>
        </w:tc>
      </w:tr>
      <w:tr>
        <w:trPr/>
        <w:tc>
          <w:tcPr>
            <w:tcW w:w="1994" w:type="dxa"/>
            <w:tcBorders>
              <w:start w:val="single" w:sz="8" w:space="0" w:color="000000"/>
              <w:bottom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Ефективність на етапі виробництва, %</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90,75</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89,30</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91,93</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91,53</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93,52</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89,40</w:t>
            </w:r>
          </w:p>
        </w:tc>
        <w:tc>
          <w:tcPr>
            <w:tcW w:w="922" w:type="dxa"/>
            <w:tcBorders>
              <w:start w:val="single" w:sz="8" w:space="0" w:color="000000"/>
              <w:bottom w:val="single" w:sz="8" w:space="0" w:color="000000"/>
            </w:tcBorders>
            <w:vAlign w:val="center"/>
          </w:tcPr>
          <w:p>
            <w:pPr>
              <w:pStyle w:val="TableParagraph"/>
              <w:widowControl w:val="false"/>
              <w:jc w:val="center"/>
              <w:rPr/>
            </w:pPr>
            <w:r>
              <w:rPr>
                <w:rFonts w:ascii="Times New Roman" w:hAnsi="Times New Roman"/>
                <w:color w:val="000000"/>
                <w:sz w:val="20"/>
                <w:szCs w:val="20"/>
              </w:rPr>
              <w:t>93,79</w:t>
            </w:r>
          </w:p>
        </w:tc>
        <w:tc>
          <w:tcPr>
            <w:tcW w:w="1076" w:type="dxa"/>
            <w:tcBorders>
              <w:start w:val="single" w:sz="8"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89,00</w:t>
            </w:r>
          </w:p>
        </w:tc>
      </w:tr>
      <w:tr>
        <w:trPr/>
        <w:tc>
          <w:tcPr>
            <w:tcW w:w="1994" w:type="dxa"/>
            <w:tcBorders>
              <w:start w:val="single" w:sz="8" w:space="0" w:color="000000"/>
              <w:bottom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Ефективність на етапі транспортування,  %</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88,76</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87,35</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89,91</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89,34</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91,47</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87,21</w:t>
            </w:r>
          </w:p>
        </w:tc>
        <w:tc>
          <w:tcPr>
            <w:tcW w:w="922" w:type="dxa"/>
            <w:tcBorders>
              <w:start w:val="single" w:sz="8" w:space="0" w:color="000000"/>
              <w:bottom w:val="single" w:sz="8" w:space="0" w:color="000000"/>
            </w:tcBorders>
            <w:vAlign w:val="center"/>
          </w:tcPr>
          <w:p>
            <w:pPr>
              <w:pStyle w:val="TableParagraph"/>
              <w:widowControl w:val="false"/>
              <w:jc w:val="center"/>
              <w:rPr/>
            </w:pPr>
            <w:r>
              <w:rPr>
                <w:rFonts w:ascii="Times New Roman" w:hAnsi="Times New Roman"/>
                <w:color w:val="000000"/>
                <w:sz w:val="20"/>
                <w:szCs w:val="20"/>
              </w:rPr>
              <w:t>91,74</w:t>
            </w:r>
          </w:p>
        </w:tc>
        <w:tc>
          <w:tcPr>
            <w:tcW w:w="1076" w:type="dxa"/>
            <w:tcBorders>
              <w:start w:val="single" w:sz="8"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87,05</w:t>
            </w:r>
          </w:p>
        </w:tc>
      </w:tr>
      <w:tr>
        <w:trPr/>
        <w:tc>
          <w:tcPr>
            <w:tcW w:w="1994" w:type="dxa"/>
            <w:tcBorders>
              <w:start w:val="single" w:sz="8" w:space="0" w:color="000000"/>
              <w:bottom w:val="single" w:sz="8" w:space="0" w:color="000000"/>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Ефективність процесу відпуску тепла,  %</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78,61</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74,27</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69,33</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68,89</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65,73</w:t>
            </w:r>
          </w:p>
        </w:tc>
        <w:tc>
          <w:tcPr>
            <w:tcW w:w="922" w:type="dxa"/>
            <w:tcBorders>
              <w:start w:val="single" w:sz="8" w:space="0" w:color="000000"/>
              <w:bottom w:val="single" w:sz="8"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66</w:t>
            </w:r>
          </w:p>
        </w:tc>
        <w:tc>
          <w:tcPr>
            <w:tcW w:w="922" w:type="dxa"/>
            <w:tcBorders>
              <w:start w:val="single" w:sz="8" w:space="0" w:color="000000"/>
              <w:bottom w:val="single" w:sz="8" w:space="0" w:color="000000"/>
            </w:tcBorders>
            <w:vAlign w:val="center"/>
          </w:tcPr>
          <w:p>
            <w:pPr>
              <w:pStyle w:val="TableParagraph"/>
              <w:widowControl w:val="false"/>
              <w:jc w:val="center"/>
              <w:rPr/>
            </w:pPr>
            <w:r>
              <w:rPr>
                <w:rFonts w:ascii="Times New Roman" w:hAnsi="Times New Roman"/>
                <w:color w:val="000000"/>
                <w:sz w:val="20"/>
                <w:szCs w:val="20"/>
              </w:rPr>
              <w:t>71,22</w:t>
            </w:r>
          </w:p>
        </w:tc>
        <w:tc>
          <w:tcPr>
            <w:tcW w:w="1076" w:type="dxa"/>
            <w:tcBorders>
              <w:start w:val="single" w:sz="8" w:space="0" w:color="000000"/>
              <w:bottom w:val="single" w:sz="8" w:space="0" w:color="000000"/>
              <w:end w:val="single" w:sz="8" w:space="0" w:color="000000"/>
            </w:tcBorders>
            <w:vAlign w:val="center"/>
          </w:tcPr>
          <w:p>
            <w:pPr>
              <w:pStyle w:val="TableParagraph"/>
              <w:widowControl w:val="false"/>
              <w:jc w:val="center"/>
              <w:rPr/>
            </w:pPr>
            <w:r>
              <w:rPr>
                <w:rFonts w:ascii="Times New Roman" w:hAnsi="Times New Roman"/>
                <w:sz w:val="20"/>
                <w:szCs w:val="20"/>
              </w:rPr>
              <w:t>68,00</w:t>
            </w:r>
          </w:p>
        </w:tc>
      </w:tr>
    </w:tbl>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При порівнянні показників 2017 з 2024 роком, характеристики ефективності виробництва і транспортування теплової енергії ДКП «Луцьктепло» практично не змінилися. </w:t>
      </w:r>
    </w:p>
    <w:p>
      <w:pPr>
        <w:pStyle w:val="Normal"/>
        <w:spacing w:before="0" w:after="0"/>
        <w:ind w:firstLine="510"/>
        <w:jc w:val="both"/>
        <w:rPr/>
      </w:pPr>
      <w:r>
        <w:rPr>
          <w:rFonts w:eastAsia="NSimSun" w:ascii="Times New Roman" w:hAnsi="Times New Roman"/>
          <w:kern w:val="2"/>
          <w:sz w:val="24"/>
          <w:szCs w:val="24"/>
          <w:shd w:fill="FFFFFF" w:val="clear"/>
          <w:lang w:eastAsia="zh-CN" w:bidi="hi-IN"/>
        </w:rPr>
        <w:t xml:space="preserve">Завдяки модернізації котелень, оптимізації теплових мереж і заміні труб на попередньо ізольовані, підприємство практично не допустило падіння ефективності виробництва і транспортування тепла. Об’єм тепла, який був наданий споживачам у 2024 році зменшився на 19 % у порівнянні з 2017 роком. </w:t>
      </w:r>
    </w:p>
    <w:p>
      <w:pPr>
        <w:pStyle w:val="Normal"/>
        <w:spacing w:lineRule="auto" w:line="240" w:before="0" w:after="0"/>
        <w:ind w:firstLine="567"/>
        <w:jc w:val="both"/>
        <w:rPr>
          <w:rFonts w:ascii="Times New Roman" w:hAnsi="Times New Roman" w:cs="Times New Roman"/>
          <w:b/>
        </w:rPr>
      </w:pPr>
      <w:r>
        <w:rPr>
          <w:rFonts w:cs="Times New Roman" w:ascii="Times New Roman" w:hAnsi="Times New Roman"/>
          <w:b/>
        </w:rPr>
      </w:r>
    </w:p>
    <w:p>
      <w:pPr>
        <w:pStyle w:val="Normal"/>
        <w:spacing w:lineRule="auto" w:line="240" w:before="0" w:after="0"/>
        <w:ind w:firstLine="567"/>
        <w:jc w:val="both"/>
        <w:rPr/>
      </w:pPr>
      <w:r>
        <w:rPr>
          <w:rFonts w:eastAsia="NSimSun" w:cs="Times New Roman" w:ascii="Times New Roman" w:hAnsi="Times New Roman"/>
          <w:b/>
          <w:bCs/>
          <w:kern w:val="2"/>
          <w:sz w:val="24"/>
          <w:szCs w:val="24"/>
          <w:lang w:eastAsia="uk-UA" w:bidi="hi-IN"/>
        </w:rPr>
        <w:t>Д</w:t>
      </w:r>
      <w:r>
        <w:rPr>
          <w:rFonts w:eastAsia="NSimSun" w:cs="Times New Roman" w:ascii="Times New Roman" w:hAnsi="Times New Roman"/>
          <w:b/>
          <w:color w:val="000000"/>
          <w:kern w:val="2"/>
          <w:sz w:val="24"/>
          <w:szCs w:val="24"/>
          <w:lang w:eastAsia="zh-CN" w:bidi="hi-IN"/>
        </w:rPr>
        <w:t>2.3.6. Розподіл та постачання природного газу</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Газопостачання Луцької МТГ здійснюється від магістральних газопроводів І-го класу Кам’янка-Бузька – Рівне та Турійськ – Луцьк – Рівне через систему газорозподільних станцій (АГРС).</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Рівень газифікації Луцької МТГ достатньо високий. Розвинена багатоступенева система розподільних газопроводів високого, середнього та низького тисків. </w:t>
      </w:r>
    </w:p>
    <w:p>
      <w:pPr>
        <w:pStyle w:val="Normal"/>
        <w:spacing w:lineRule="auto" w:line="240" w:before="0" w:after="0"/>
        <w:ind w:firstLine="567"/>
        <w:jc w:val="both"/>
        <w:rPr/>
      </w:pPr>
      <w:bookmarkStart w:id="86" w:name="_Toc94786688_копія_1"/>
      <w:r>
        <w:rPr>
          <w:rFonts w:eastAsia="NSimSun" w:cs="Times New Roman" w:ascii="Times New Roman" w:hAnsi="Times New Roman"/>
          <w:color w:val="000000"/>
          <w:kern w:val="2"/>
          <w:sz w:val="24"/>
          <w:szCs w:val="24"/>
          <w:lang w:eastAsia="zh-CN" w:bidi="hi-IN"/>
        </w:rPr>
        <w:t>Основні характеристики системи газопостачання</w:t>
      </w:r>
      <w:bookmarkEnd w:id="86"/>
      <w:r>
        <w:rPr>
          <w:rFonts w:eastAsia="NSimSun" w:cs="Times New Roman" w:ascii="Times New Roman" w:hAnsi="Times New Roman"/>
          <w:color w:val="000000"/>
          <w:kern w:val="2"/>
          <w:sz w:val="24"/>
          <w:szCs w:val="24"/>
          <w:lang w:eastAsia="zh-CN" w:bidi="hi-IN"/>
        </w:rPr>
        <w:t>:</w:t>
      </w:r>
    </w:p>
    <w:p>
      <w:pPr>
        <w:pStyle w:val="2"/>
        <w:rPr>
          <w:lang w:val="uk-UA"/>
        </w:rPr>
      </w:pPr>
      <w:r>
        <w:rPr>
          <w:lang w:val="uk-UA" w:bidi="hi-IN"/>
        </w:rPr>
        <w:t>1) Луцьк (протяжність 395,602 км);</w:t>
      </w:r>
    </w:p>
    <w:p>
      <w:pPr>
        <w:pStyle w:val="2"/>
        <w:rPr>
          <w:lang w:val="uk-UA"/>
        </w:rPr>
      </w:pPr>
      <w:r>
        <w:rPr>
          <w:lang w:val="uk-UA" w:bidi="hi-IN"/>
        </w:rPr>
        <w:t>2) Рокині (протяжність 2,168 км);</w:t>
      </w:r>
    </w:p>
    <w:p>
      <w:pPr>
        <w:pStyle w:val="2"/>
        <w:rPr>
          <w:lang w:val="uk-UA"/>
        </w:rPr>
      </w:pPr>
      <w:r>
        <w:rPr>
          <w:lang w:val="uk-UA" w:bidi="hi-IN"/>
        </w:rPr>
        <w:t>3) Прилуцьк (протяжність 1,94 км).</w:t>
      </w:r>
    </w:p>
    <w:p>
      <w:pPr>
        <w:pStyle w:val="Normal"/>
        <w:spacing w:lineRule="auto" w:line="240" w:before="0" w:after="0"/>
        <w:ind w:firstLine="567"/>
        <w:jc w:val="both"/>
        <w:rPr/>
      </w:pPr>
      <w:r>
        <w:rPr>
          <w:rFonts w:eastAsia="NSimSun" w:cs="Times New Roman" w:ascii="Times New Roman" w:hAnsi="Times New Roman"/>
          <w:color w:val="000000"/>
          <w:kern w:val="2"/>
          <w:sz w:val="24"/>
          <w:szCs w:val="24"/>
          <w:lang w:eastAsia="zh-CN" w:bidi="hi-IN"/>
        </w:rPr>
        <w:t>Річний обсяг спожитого природного газу протягом 2017-2024 років наведено в таблиці Д2.33. та на рисунку Д2.22.</w:t>
      </w:r>
    </w:p>
    <w:p>
      <w:pPr>
        <w:pStyle w:val="Normal"/>
        <w:spacing w:lineRule="auto" w:line="240" w:before="0" w:after="0"/>
        <w:jc w:val="center"/>
        <w:rPr/>
      </w:pPr>
      <w:r>
        <w:rPr>
          <w:rFonts w:eastAsia="NSimSun" w:cs="Times New Roman" w:ascii="Times New Roman" w:hAnsi="Times New Roman"/>
          <w:color w:val="000000"/>
          <w:kern w:val="2"/>
          <w:sz w:val="24"/>
          <w:szCs w:val="24"/>
          <w:lang w:eastAsia="zh-CN" w:bidi="hi-IN"/>
        </w:rPr>
        <w:t>Таблиця Д2.33. Споживання природного газу в Луцькій МТГ, тис.м</w:t>
      </w:r>
      <w:r>
        <w:rPr>
          <w:rFonts w:eastAsia="NSimSun" w:cs="Times New Roman" w:ascii="Times New Roman" w:hAnsi="Times New Roman"/>
          <w:color w:val="000000"/>
          <w:kern w:val="2"/>
          <w:sz w:val="24"/>
          <w:szCs w:val="24"/>
          <w:vertAlign w:val="superscript"/>
          <w:lang w:eastAsia="zh-CN" w:bidi="hi-IN"/>
        </w:rPr>
        <w:t>3</w:t>
      </w:r>
      <w:r>
        <w:rPr>
          <w:rFonts w:eastAsia="NSimSun" w:cs="Times New Roman" w:ascii="Times New Roman" w:hAnsi="Times New Roman"/>
          <w:color w:val="000000"/>
          <w:kern w:val="2"/>
          <w:sz w:val="24"/>
          <w:szCs w:val="24"/>
          <w:lang w:eastAsia="zh-CN" w:bidi="hi-IN"/>
        </w:rPr>
        <w:t xml:space="preserve"> </w:t>
      </w:r>
    </w:p>
    <w:tbl>
      <w:tblPr>
        <w:tblW w:w="9702" w:type="dxa"/>
        <w:jc w:val="start"/>
        <w:tblInd w:w="25" w:type="dxa"/>
        <w:tblLayout w:type="fixed"/>
        <w:tblCellMar>
          <w:top w:w="55" w:type="dxa"/>
          <w:start w:w="55" w:type="dxa"/>
          <w:bottom w:w="55" w:type="dxa"/>
          <w:end w:w="55" w:type="dxa"/>
        </w:tblCellMar>
        <w:tblLook w:firstRow="1" w:noVBand="1" w:lastRow="0" w:firstColumn="1" w:lastColumn="0" w:noHBand="0" w:val="04a0"/>
      </w:tblPr>
      <w:tblGrid>
        <w:gridCol w:w="1893"/>
        <w:gridCol w:w="976"/>
        <w:gridCol w:w="976"/>
        <w:gridCol w:w="976"/>
        <w:gridCol w:w="976"/>
        <w:gridCol w:w="976"/>
        <w:gridCol w:w="976"/>
        <w:gridCol w:w="976"/>
        <w:gridCol w:w="976"/>
      </w:tblGrid>
      <w:tr>
        <w:trPr/>
        <w:tc>
          <w:tcPr>
            <w:tcW w:w="189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Споживачі</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9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9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1893"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Бюджетний сектор</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3903,29</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3502,92</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3109,72</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2880,58</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3102,09</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2549,37</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2933,43</w:t>
            </w:r>
          </w:p>
        </w:tc>
        <w:tc>
          <w:tcPr>
            <w:tcW w:w="976"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2937,57</w:t>
            </w:r>
          </w:p>
        </w:tc>
      </w:tr>
      <w:tr>
        <w:trPr/>
        <w:tc>
          <w:tcPr>
            <w:tcW w:w="1893"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Населення</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80439,97</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74280,31</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62328,13</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67640,01</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70326,53</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69999,26</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70923,97</w:t>
            </w:r>
          </w:p>
        </w:tc>
        <w:tc>
          <w:tcPr>
            <w:tcW w:w="976"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68462,46</w:t>
            </w:r>
          </w:p>
        </w:tc>
      </w:tr>
      <w:tr>
        <w:trPr/>
        <w:tc>
          <w:tcPr>
            <w:tcW w:w="1893"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Промислові підприємства</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39769,27</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36250,58</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34123,00</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20581,53</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19462,48</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13216,37</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33381,65</w:t>
            </w:r>
          </w:p>
        </w:tc>
        <w:tc>
          <w:tcPr>
            <w:tcW w:w="976"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39565,2</w:t>
            </w:r>
          </w:p>
        </w:tc>
      </w:tr>
      <w:tr>
        <w:trPr/>
        <w:tc>
          <w:tcPr>
            <w:tcW w:w="1893"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Інші (непромислові: склади, магазини, офіси, і т.д.)</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3224,54</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2939,24</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2766,73</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1673,33</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1964,99</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939,08</w:t>
            </w:r>
          </w:p>
        </w:tc>
        <w:tc>
          <w:tcPr>
            <w:tcW w:w="97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2706,62</w:t>
            </w:r>
          </w:p>
        </w:tc>
        <w:tc>
          <w:tcPr>
            <w:tcW w:w="976"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893"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shd w:fill="FFFFFF" w:val="clear"/>
              </w:rPr>
              <w:t>ДКП «Луцьктепло»</w:t>
            </w:r>
          </w:p>
        </w:tc>
        <w:tc>
          <w:tcPr>
            <w:tcW w:w="97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69205,39</w:t>
            </w:r>
          </w:p>
        </w:tc>
        <w:tc>
          <w:tcPr>
            <w:tcW w:w="97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68647,33</w:t>
            </w:r>
          </w:p>
        </w:tc>
        <w:tc>
          <w:tcPr>
            <w:tcW w:w="97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61995,78</w:t>
            </w:r>
          </w:p>
        </w:tc>
        <w:tc>
          <w:tcPr>
            <w:tcW w:w="97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60131,04</w:t>
            </w:r>
          </w:p>
        </w:tc>
        <w:tc>
          <w:tcPr>
            <w:tcW w:w="97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rPr>
              <w:t>63363,01</w:t>
            </w:r>
          </w:p>
        </w:tc>
        <w:tc>
          <w:tcPr>
            <w:tcW w:w="976"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51697,95</w:t>
            </w:r>
          </w:p>
        </w:tc>
        <w:tc>
          <w:tcPr>
            <w:tcW w:w="976"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rPr>
              <w:t>51419,95</w:t>
            </w:r>
          </w:p>
        </w:tc>
        <w:tc>
          <w:tcPr>
            <w:tcW w:w="976" w:type="dxa"/>
            <w:tcBorders>
              <w:start w:val="single" w:sz="4" w:space="0" w:color="000000"/>
              <w:bottom w:val="single" w:sz="4" w:space="0" w:color="000000"/>
              <w:end w:val="single" w:sz="4" w:space="0" w:color="000000"/>
            </w:tcBorders>
            <w:vAlign w:val="center"/>
          </w:tcPr>
          <w:p>
            <w:pPr>
              <w:pStyle w:val="TableParagraph"/>
              <w:widowControl w:val="false"/>
              <w:jc w:val="center"/>
              <w:rPr/>
            </w:pPr>
            <w:r>
              <w:rPr>
                <w:rFonts w:ascii="Times New Roman" w:hAnsi="Times New Roman"/>
                <w:sz w:val="20"/>
                <w:szCs w:val="20"/>
              </w:rPr>
              <w:t>52734,87</w:t>
            </w:r>
          </w:p>
        </w:tc>
      </w:tr>
      <w:tr>
        <w:trPr/>
        <w:tc>
          <w:tcPr>
            <w:tcW w:w="1893" w:type="dxa"/>
            <w:tcBorders>
              <w:start w:val="single" w:sz="4" w:space="0" w:color="000000"/>
              <w:bottom w:val="single" w:sz="4" w:space="0" w:color="000000"/>
            </w:tcBorders>
            <w:vAlign w:val="bottom"/>
          </w:tcPr>
          <w:p>
            <w:pPr>
              <w:pStyle w:val="Normal"/>
              <w:spacing w:lineRule="auto" w:line="240" w:before="0" w:after="0"/>
              <w:rPr/>
            </w:pPr>
            <w:r>
              <w:rPr>
                <w:rFonts w:ascii="Times New Roman" w:hAnsi="Times New Roman"/>
                <w:sz w:val="20"/>
                <w:szCs w:val="20"/>
              </w:rPr>
              <w:t>Загалом</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196542,46</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185620,38</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164323,36</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92775,45</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158219,1</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86704,08</w:t>
            </w:r>
          </w:p>
        </w:tc>
        <w:tc>
          <w:tcPr>
            <w:tcW w:w="976" w:type="dxa"/>
            <w:tcBorders>
              <w:start w:val="single" w:sz="4" w:space="0" w:color="000000"/>
              <w:bottom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161365,62</w:t>
            </w:r>
          </w:p>
        </w:tc>
        <w:tc>
          <w:tcPr>
            <w:tcW w:w="976"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163700,10</w:t>
            </w:r>
          </w:p>
        </w:tc>
      </w:tr>
    </w:tbl>
    <w:p>
      <w:pPr>
        <w:pStyle w:val="Normal"/>
        <w:spacing w:lineRule="auto" w:line="240" w:before="0" w:after="0"/>
        <w:rPr/>
      </w:pPr>
      <w:r>
        <w:rPr>
          <w:sz w:val="16"/>
          <w:szCs w:val="16"/>
        </w:rPr>
        <w:t xml:space="preserve">* </w:t>
      </w:r>
      <w:r>
        <w:rPr>
          <w:rFonts w:ascii="Times New Roman" w:hAnsi="Times New Roman"/>
          <w:sz w:val="16"/>
          <w:szCs w:val="16"/>
        </w:rPr>
        <w:t>- дані відсутні</w:t>
      </w:r>
    </w:p>
    <w:p>
      <w:pPr>
        <w:pStyle w:val="Normal"/>
        <w:spacing w:before="0" w:after="0"/>
        <w:ind w:firstLine="567"/>
        <w:jc w:val="both"/>
        <w:rPr>
          <w:rFonts w:ascii="Times New Roman" w:hAnsi="Times New Roman" w:cs="Times New Roman"/>
          <w:color w:val="000000"/>
        </w:rPr>
      </w:pPr>
      <w:r>
        <w:rPr>
          <w:rFonts w:cs="Times New Roman" w:ascii="Times New Roman" w:hAnsi="Times New Roman"/>
          <w:color w:val="000000"/>
        </w:rPr>
      </w:r>
    </w:p>
    <w:p>
      <w:pPr>
        <w:pStyle w:val="Normal"/>
        <w:spacing w:before="0" w:after="0"/>
        <w:ind w:firstLine="567"/>
        <w:jc w:val="both"/>
        <w:rPr>
          <w:rFonts w:ascii="Times New Roman" w:hAnsi="Times New Roman" w:cs="Times New Roman"/>
          <w:color w:val="000000"/>
        </w:rPr>
      </w:pPr>
      <w:r>
        <w:rPr>
          <w:rFonts w:cs="Times New Roman" w:ascii="Times New Roman" w:hAnsi="Times New Roman"/>
          <w:color w:val="000000"/>
        </w:rPr>
      </w:r>
    </w:p>
    <w:p>
      <w:pPr>
        <w:pStyle w:val="Normal"/>
        <w:spacing w:before="0" w:after="0"/>
        <w:ind w:firstLine="567"/>
        <w:jc w:val="both"/>
        <w:rPr>
          <w:rFonts w:ascii="Times New Roman" w:hAnsi="Times New Roman" w:cs="Times New Roman"/>
          <w:color w:val="000000"/>
        </w:rPr>
      </w:pPr>
      <w:r>
        <w:rPr>
          <w:rFonts w:cs="Times New Roman" w:ascii="Times New Roman" w:hAnsi="Times New Roman"/>
          <w:color w:val="000000"/>
        </w:rPr>
        <w:drawing>
          <wp:anchor behindDoc="0" distT="0" distB="0" distL="0" distR="0" simplePos="0" locked="0" layoutInCell="0" allowOverlap="1" relativeHeight="12">
            <wp:simplePos x="0" y="0"/>
            <wp:positionH relativeFrom="column">
              <wp:posOffset>1099820</wp:posOffset>
            </wp:positionH>
            <wp:positionV relativeFrom="paragraph">
              <wp:posOffset>104140</wp:posOffset>
            </wp:positionV>
            <wp:extent cx="4159250" cy="2338705"/>
            <wp:effectExtent l="0" t="0" r="0" b="0"/>
            <wp:wrapSquare wrapText="largest"/>
            <wp:docPr id="50" name="Об'єкт62"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anchor>
        </w:drawing>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before="0" w:after="0"/>
        <w:ind w:firstLine="567"/>
        <w:jc w:val="center"/>
        <w:rPr>
          <w:rFonts w:ascii="Times New Roman" w:hAnsi="Times New Roman" w:eastAsia="NSimSun" w:cs="Times New Roman"/>
          <w:color w:val="000000"/>
          <w:kern w:val="2"/>
          <w:sz w:val="24"/>
          <w:szCs w:val="24"/>
          <w:lang w:eastAsia="zh-CN" w:bidi="hi-IN"/>
        </w:rPr>
      </w:pPr>
      <w:r>
        <w:rPr>
          <w:rFonts w:eastAsia="NSimSun" w:cs="Times New Roman" w:ascii="Times New Roman" w:hAnsi="Times New Roman"/>
          <w:color w:val="000000"/>
          <w:kern w:val="2"/>
          <w:sz w:val="24"/>
          <w:szCs w:val="24"/>
          <w:lang w:eastAsia="zh-CN" w:bidi="hi-I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pPr>
      <w:r>
        <w:rPr/>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Рисунок Д2.22. Споживання природного газу споживачами, тис.м</w:t>
      </w:r>
      <w:r>
        <w:rPr>
          <w:rFonts w:eastAsia="NSimSun" w:cs="Times New Roman" w:ascii="Times New Roman" w:hAnsi="Times New Roman"/>
          <w:color w:val="000000"/>
          <w:kern w:val="2"/>
          <w:sz w:val="24"/>
          <w:szCs w:val="24"/>
          <w:shd w:fill="FFFFFF" w:val="clear"/>
          <w:vertAlign w:val="superscript"/>
          <w:lang w:eastAsia="zh-CN" w:bidi="hi-IN"/>
        </w:rPr>
        <w:t>3</w:t>
      </w:r>
      <w:r>
        <w:rPr>
          <w:rFonts w:eastAsia="NSimSun" w:cs="Times New Roman" w:ascii="Times New Roman" w:hAnsi="Times New Roman"/>
          <w:color w:val="000000"/>
          <w:kern w:val="2"/>
          <w:sz w:val="24"/>
          <w:szCs w:val="24"/>
          <w:shd w:fill="FFFFFF" w:val="clear"/>
          <w:lang w:eastAsia="zh-CN" w:bidi="hi-IN"/>
        </w:rPr>
        <w:t xml:space="preserve"> </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Приватний сектор для комунально-побутових потреб використовує в основному природний газ. Газопостачання приватного сектору міста забезпечується безперебійно. Участь міста в процесі забезпечення паливом приватного сектору мінімальна.</w:t>
      </w:r>
    </w:p>
    <w:p>
      <w:pPr>
        <w:pStyle w:val="Normal"/>
        <w:spacing w:lineRule="auto" w:line="240" w:before="0" w:after="0"/>
        <w:ind w:firstLine="567"/>
        <w:jc w:val="both"/>
        <w:rPr/>
      </w:pPr>
      <w:r>
        <w:rPr>
          <w:rFonts w:eastAsia="Times New Roman" w:cs="Times New Roman" w:ascii="Times New Roman" w:hAnsi="Times New Roman"/>
          <w:color w:val="000000"/>
          <w:kern w:val="2"/>
          <w:sz w:val="24"/>
          <w:szCs w:val="24"/>
          <w:lang w:eastAsia="de-DE" w:bidi="hi-IN"/>
        </w:rPr>
        <w:t>В місті не спостерігається дефіциту пропускної здатності газових мереж, на даний час йде їх розбудова. В першу чергу це пов’язано з будівництвом нових житлових будинків. Але тенденції щодо вартості природного газу, а також зобов’язання щодо зменшення використання викопного палива, вказують на необхідність мінімізувати споживання зазначеного ресурсу.</w:t>
      </w:r>
    </w:p>
    <w:p>
      <w:pPr>
        <w:pStyle w:val="Normal"/>
        <w:spacing w:lineRule="auto" w:line="240" w:before="0" w:after="0"/>
        <w:ind w:firstLine="567"/>
        <w:jc w:val="both"/>
        <w:rPr>
          <w:rFonts w:ascii="Times New Roman" w:hAnsi="Times New Roman" w:cs="Times New Roman"/>
        </w:rPr>
      </w:pPr>
      <w:r>
        <w:rPr>
          <w:rFonts w:cs="Times New Roman" w:ascii="Times New Roman" w:hAnsi="Times New Roman"/>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Д2.3.7. Розподіл та постачання електроенергії</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Розподіл електричної енергії у Волинській МТГ надається ПрАТ «Волиньобленерго»</w:t>
      </w:r>
      <w:r>
        <w:rPr>
          <w:rFonts w:eastAsia="Times New Roman" w:cs="Times New Roman" w:ascii="Times New Roman" w:hAnsi="Times New Roman"/>
          <w:color w:val="000000"/>
          <w:kern w:val="2"/>
          <w:sz w:val="24"/>
          <w:szCs w:val="24"/>
          <w:lang w:eastAsia="de-DE" w:bidi="hi-IN"/>
        </w:rPr>
        <w:t>.</w:t>
      </w:r>
    </w:p>
    <w:p>
      <w:pPr>
        <w:pStyle w:val="Normal"/>
        <w:spacing w:before="0" w:after="0"/>
        <w:jc w:val="center"/>
        <w:rPr/>
      </w:pPr>
      <w:r>
        <w:rPr>
          <w:rFonts w:eastAsia="NSimSun" w:cs="Times New Roman" w:ascii="Times New Roman" w:hAnsi="Times New Roman"/>
          <w:color w:val="000000"/>
          <w:kern w:val="2"/>
          <w:sz w:val="24"/>
          <w:szCs w:val="24"/>
          <w:lang w:eastAsia="zh-CN" w:bidi="hi-IN"/>
        </w:rPr>
        <w:t xml:space="preserve">Таблиця Д2.34. Загальна характеристика розподільчих потужностей мережі електропостачання </w:t>
      </w:r>
    </w:p>
    <w:tbl>
      <w:tblPr>
        <w:tblW w:w="9870" w:type="dxa"/>
        <w:jc w:val="start"/>
        <w:tblInd w:w="23" w:type="dxa"/>
        <w:tblLayout w:type="fixed"/>
        <w:tblCellMar>
          <w:top w:w="0" w:type="dxa"/>
          <w:start w:w="7" w:type="dxa"/>
          <w:bottom w:w="0" w:type="dxa"/>
          <w:end w:w="7" w:type="dxa"/>
        </w:tblCellMar>
        <w:tblLook w:firstRow="1" w:noVBand="1" w:lastRow="0" w:firstColumn="1" w:lastColumn="0" w:noHBand="0" w:val="04a0"/>
      </w:tblPr>
      <w:tblGrid>
        <w:gridCol w:w="551"/>
        <w:gridCol w:w="5082"/>
        <w:gridCol w:w="2118"/>
        <w:gridCol w:w="2118"/>
      </w:tblGrid>
      <w:tr>
        <w:trPr>
          <w:trHeight w:val="285" w:hRule="atLeast"/>
        </w:trPr>
        <w:tc>
          <w:tcPr>
            <w:tcW w:w="551"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w:t>
            </w:r>
          </w:p>
        </w:tc>
        <w:tc>
          <w:tcPr>
            <w:tcW w:w="5082"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Назва параметру</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2021</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2024</w:t>
            </w:r>
          </w:p>
        </w:tc>
      </w:tr>
      <w:tr>
        <w:trPr>
          <w:trHeight w:val="235" w:hRule="atLeast"/>
        </w:trPr>
        <w:tc>
          <w:tcPr>
            <w:tcW w:w="551"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w:t>
            </w:r>
          </w:p>
        </w:tc>
        <w:tc>
          <w:tcPr>
            <w:tcW w:w="5082"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Кількість трансформаторних підстанцій 110кВ</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w:t>
            </w:r>
          </w:p>
        </w:tc>
      </w:tr>
      <w:tr>
        <w:trPr>
          <w:trHeight w:val="288" w:hRule="atLeast"/>
        </w:trPr>
        <w:tc>
          <w:tcPr>
            <w:tcW w:w="551"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w:t>
            </w:r>
          </w:p>
        </w:tc>
        <w:tc>
          <w:tcPr>
            <w:tcW w:w="5082" w:type="dxa"/>
            <w:tcBorders>
              <w:start w:val="single" w:sz="6" w:space="0" w:color="131313"/>
              <w:bottom w:val="single" w:sz="6" w:space="0" w:color="131313"/>
              <w:end w:val="single" w:sz="6" w:space="0" w:color="131313"/>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Кількість розподільних пунктів 6-10кB</w:t>
            </w:r>
          </w:p>
        </w:tc>
        <w:tc>
          <w:tcPr>
            <w:tcW w:w="2118" w:type="dxa"/>
            <w:tcBorders>
              <w:top w:val="single" w:sz="6" w:space="0" w:color="000000"/>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23</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23</w:t>
            </w:r>
          </w:p>
        </w:tc>
      </w:tr>
      <w:tr>
        <w:trPr>
          <w:trHeight w:val="296" w:hRule="atLeast"/>
        </w:trPr>
        <w:tc>
          <w:tcPr>
            <w:tcW w:w="551"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w:t>
            </w:r>
          </w:p>
        </w:tc>
        <w:tc>
          <w:tcPr>
            <w:tcW w:w="5082" w:type="dxa"/>
            <w:tcBorders>
              <w:start w:val="single" w:sz="6" w:space="0" w:color="131313"/>
              <w:bottom w:val="single" w:sz="6" w:space="0" w:color="131313"/>
              <w:end w:val="single" w:sz="6" w:space="0" w:color="131313"/>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Кількість трансформаторних підстанцій 6-10кВ</w:t>
            </w:r>
          </w:p>
        </w:tc>
        <w:tc>
          <w:tcPr>
            <w:tcW w:w="2118" w:type="dxa"/>
            <w:tcBorders>
              <w:top w:val="single" w:sz="6" w:space="0" w:color="1F1F1F"/>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625</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631</w:t>
            </w:r>
          </w:p>
        </w:tc>
      </w:tr>
      <w:tr>
        <w:trPr>
          <w:trHeight w:val="244" w:hRule="atLeast"/>
        </w:trPr>
        <w:tc>
          <w:tcPr>
            <w:tcW w:w="551"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4</w:t>
            </w:r>
          </w:p>
        </w:tc>
        <w:tc>
          <w:tcPr>
            <w:tcW w:w="5082" w:type="dxa"/>
            <w:tcBorders>
              <w:start w:val="single" w:sz="6" w:space="0" w:color="131313"/>
              <w:bottom w:val="single" w:sz="6" w:space="0" w:color="131313"/>
              <w:end w:val="single" w:sz="6" w:space="0" w:color="131313"/>
            </w:tcBorders>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Протяжність ліній електропередач 10кВ, км</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841</w:t>
            </w:r>
          </w:p>
        </w:tc>
        <w:tc>
          <w:tcPr>
            <w:tcW w:w="2118" w:type="dxa"/>
            <w:tcBorders>
              <w:top w:val="single" w:sz="6" w:space="0" w:color="131313"/>
              <w:start w:val="single" w:sz="6" w:space="0" w:color="131313"/>
              <w:bottom w:val="single" w:sz="6" w:space="0" w:color="131313"/>
              <w:end w:val="single" w:sz="6" w:space="0" w:color="131313"/>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844</w:t>
            </w:r>
          </w:p>
        </w:tc>
      </w:tr>
    </w:tbl>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У таблицях Д2.35. та на рисунку Д2.23. наведені обсяги постачання електричної енергії споживачам.</w:t>
      </w:r>
    </w:p>
    <w:p>
      <w:pPr>
        <w:pStyle w:val="Normal"/>
        <w:numPr>
          <w:ilvl w:val="0"/>
          <w:numId w:val="0"/>
        </w:numPr>
        <w:spacing w:lineRule="auto" w:line="240" w:before="0" w:after="0"/>
        <w:ind w:hanging="0" w:start="0"/>
        <w:jc w:val="center"/>
        <w:outlineLvl w:val="3"/>
        <w:rPr/>
      </w:pPr>
      <w:r>
        <w:rPr>
          <w:rFonts w:eastAsia="Arial" w:ascii="Times New Roman" w:hAnsi="Times New Roman"/>
          <w:kern w:val="2"/>
          <w:sz w:val="24"/>
          <w:szCs w:val="24"/>
        </w:rPr>
        <w:t xml:space="preserve">Таблиця </w:t>
      </w:r>
      <w:r>
        <w:rPr>
          <w:rFonts w:eastAsia="NSimSun" w:cs="Times New Roman" w:ascii="Times New Roman" w:hAnsi="Times New Roman"/>
          <w:color w:val="000000"/>
          <w:kern w:val="2"/>
          <w:sz w:val="24"/>
          <w:szCs w:val="24"/>
          <w:lang w:eastAsia="zh-CN" w:bidi="hi-IN"/>
        </w:rPr>
        <w:t>Д2.35.</w:t>
      </w:r>
      <w:r>
        <w:rPr>
          <w:rFonts w:eastAsia="Arial" w:ascii="Times New Roman" w:hAnsi="Times New Roman"/>
          <w:kern w:val="2"/>
          <w:sz w:val="24"/>
          <w:szCs w:val="24"/>
        </w:rPr>
        <w:t> Обсяги постачання електроенергії споживачам Луцької МТГ, МВт.год</w:t>
      </w:r>
    </w:p>
    <w:p>
      <w:pPr>
        <w:pStyle w:val="Normal"/>
        <w:spacing w:before="0" w:after="0"/>
        <w:rPr>
          <w:rFonts w:ascii="Times New Roman" w:hAnsi="Times New Roman" w:cs="Times New Roman"/>
          <w:color w:val="C9211E"/>
          <w:shd w:fill="FFFF00" w:val="clear"/>
        </w:rPr>
      </w:pPr>
      <w:r>
        <w:rPr>
          <w:rFonts w:cs="Times New Roman" w:ascii="Times New Roman" w:hAnsi="Times New Roman"/>
          <w:color w:val="C9211E"/>
          <w:shd w:fill="FFFF00" w:val="clear"/>
        </w:rPr>
      </w:r>
    </w:p>
    <w:tbl>
      <w:tblPr>
        <w:tblW w:w="9915" w:type="dxa"/>
        <w:jc w:val="start"/>
        <w:tblInd w:w="25" w:type="dxa"/>
        <w:tblLayout w:type="fixed"/>
        <w:tblCellMar>
          <w:top w:w="55" w:type="dxa"/>
          <w:start w:w="55" w:type="dxa"/>
          <w:bottom w:w="55" w:type="dxa"/>
          <w:end w:w="55" w:type="dxa"/>
        </w:tblCellMar>
        <w:tblLook w:firstRow="1" w:noVBand="1" w:lastRow="0" w:firstColumn="1" w:lastColumn="0" w:noHBand="0" w:val="04a0"/>
      </w:tblPr>
      <w:tblGrid>
        <w:gridCol w:w="1981"/>
        <w:gridCol w:w="990"/>
        <w:gridCol w:w="995"/>
        <w:gridCol w:w="989"/>
        <w:gridCol w:w="994"/>
        <w:gridCol w:w="993"/>
        <w:gridCol w:w="990"/>
        <w:gridCol w:w="994"/>
        <w:gridCol w:w="988"/>
      </w:tblGrid>
      <w:tr>
        <w:trPr>
          <w:trHeight w:val="674" w:hRule="atLeast"/>
        </w:trPr>
        <w:tc>
          <w:tcPr>
            <w:tcW w:w="1981"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Сектори</w:t>
            </w:r>
          </w:p>
        </w:tc>
        <w:tc>
          <w:tcPr>
            <w:tcW w:w="990"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2017</w:t>
            </w:r>
          </w:p>
        </w:tc>
        <w:tc>
          <w:tcPr>
            <w:tcW w:w="995"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2018</w:t>
            </w:r>
          </w:p>
        </w:tc>
        <w:tc>
          <w:tcPr>
            <w:tcW w:w="989"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2019</w:t>
            </w:r>
          </w:p>
        </w:tc>
        <w:tc>
          <w:tcPr>
            <w:tcW w:w="994"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2020</w:t>
            </w:r>
          </w:p>
        </w:tc>
        <w:tc>
          <w:tcPr>
            <w:tcW w:w="993"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2021</w:t>
            </w:r>
          </w:p>
        </w:tc>
        <w:tc>
          <w:tcPr>
            <w:tcW w:w="990"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2022</w:t>
            </w:r>
          </w:p>
        </w:tc>
        <w:tc>
          <w:tcPr>
            <w:tcW w:w="994" w:type="dxa"/>
            <w:tcBorders>
              <w:top w:val="single" w:sz="4" w:space="0" w:color="000000"/>
              <w:start w:val="single" w:sz="4" w:space="0" w:color="000000"/>
              <w:bottom w:val="single" w:sz="4" w:space="0" w:color="000000"/>
            </w:tcBorders>
          </w:tcPr>
          <w:p>
            <w:pPr>
              <w:pStyle w:val="Normal"/>
              <w:spacing w:before="0" w:after="0"/>
              <w:jc w:val="center"/>
              <w:rPr/>
            </w:pPr>
            <w:r>
              <w:rPr>
                <w:rFonts w:ascii="Times New Roman" w:hAnsi="Times New Roman"/>
                <w:sz w:val="20"/>
                <w:szCs w:val="20"/>
              </w:rPr>
              <w:t>2023</w:t>
            </w:r>
          </w:p>
        </w:tc>
        <w:tc>
          <w:tcPr>
            <w:tcW w:w="988" w:type="dxa"/>
            <w:tcBorders>
              <w:top w:val="single" w:sz="4" w:space="0" w:color="000000"/>
              <w:start w:val="single" w:sz="4" w:space="0" w:color="000000"/>
              <w:bottom w:val="single" w:sz="4" w:space="0" w:color="000000"/>
              <w:end w:val="single" w:sz="4" w:space="0" w:color="000000"/>
            </w:tcBorders>
          </w:tcPr>
          <w:p>
            <w:pPr>
              <w:pStyle w:val="Normal"/>
              <w:spacing w:before="0" w:after="0"/>
              <w:jc w:val="center"/>
              <w:rPr/>
            </w:pPr>
            <w:r>
              <w:rPr>
                <w:rFonts w:ascii="Times New Roman" w:hAnsi="Times New Roman"/>
                <w:sz w:val="20"/>
                <w:szCs w:val="20"/>
              </w:rPr>
              <w:t>2024</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Громадські будівлі</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25607,00</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29821,00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28380,00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25006,00</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30955,00</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29762,00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26588,00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22121,70</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Об'єкти водопостачання та водовідведення</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18000,00</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18200,00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17700,00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18100,00</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18300,00</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16200,00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17938,00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16757,00</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Об’єкти зовнішнього освітлення</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3508,00</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3465,00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3619,00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3936,00</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4820,00</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3528,00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3424,90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3931,80</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Житлові будівлі</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135876,00</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136356,00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138887,00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215333,00</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233591,00</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228839,00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150141,00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147157,90</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Об'єкти у сфері теплопостачання  (в частині споживання електричної енергії для потреб транспортування і розподілу теплової енергії)</w:t>
            </w:r>
          </w:p>
        </w:tc>
        <w:tc>
          <w:tcPr>
            <w:tcW w:w="99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20183,8</w:t>
            </w:r>
          </w:p>
        </w:tc>
        <w:tc>
          <w:tcPr>
            <w:tcW w:w="995"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19962,97</w:t>
            </w:r>
          </w:p>
        </w:tc>
        <w:tc>
          <w:tcPr>
            <w:tcW w:w="989"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19332,24</w:t>
            </w:r>
          </w:p>
        </w:tc>
        <w:tc>
          <w:tcPr>
            <w:tcW w:w="99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20253,21</w:t>
            </w:r>
          </w:p>
        </w:tc>
        <w:tc>
          <w:tcPr>
            <w:tcW w:w="993"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color w:val="000000"/>
                <w:sz w:val="20"/>
                <w:szCs w:val="20"/>
                <w:shd w:fill="FFFFFF" w:val="clear"/>
              </w:rPr>
              <w:t>19519,43</w:t>
            </w:r>
          </w:p>
        </w:tc>
        <w:tc>
          <w:tcPr>
            <w:tcW w:w="990"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16978,46</w:t>
            </w:r>
          </w:p>
        </w:tc>
        <w:tc>
          <w:tcPr>
            <w:tcW w:w="994" w:type="dxa"/>
            <w:tcBorders>
              <w:start w:val="single" w:sz="4" w:space="0" w:color="000000"/>
              <w:bottom w:val="single" w:sz="4" w:space="0" w:color="000000"/>
            </w:tcBorders>
            <w:vAlign w:val="center"/>
          </w:tcPr>
          <w:p>
            <w:pPr>
              <w:pStyle w:val="TableParagraph"/>
              <w:widowControl w:val="false"/>
              <w:jc w:val="center"/>
              <w:rPr/>
            </w:pPr>
            <w:r>
              <w:rPr>
                <w:rFonts w:ascii="Times New Roman" w:hAnsi="Times New Roman"/>
                <w:color w:val="000000"/>
                <w:sz w:val="20"/>
                <w:szCs w:val="20"/>
                <w:shd w:fill="FFFFFF" w:val="clear"/>
              </w:rPr>
              <w:t>14795,70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14428,34</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Третинний сектор</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289693,00</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306380,00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241075,00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318766,00</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367085,00</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306496,00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214391,00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237718,7</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Громадський транспорт та відповідна інфраструктура</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7512,20</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7499,50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7107,80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5272,81</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6189,90</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4680,11</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4859,20</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4856,02</w:t>
            </w:r>
          </w:p>
        </w:tc>
      </w:tr>
      <w:tr>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Приватний та комерційний транспорт</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752,97</w:t>
            </w:r>
          </w:p>
        </w:tc>
        <w:tc>
          <w:tcPr>
            <w:tcW w:w="99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792,60</w:t>
            </w:r>
          </w:p>
        </w:tc>
        <w:tc>
          <w:tcPr>
            <w:tcW w:w="989"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817,12</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833,79</w:t>
            </w:r>
          </w:p>
        </w:tc>
        <w:tc>
          <w:tcPr>
            <w:tcW w:w="99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858,81</w:t>
            </w:r>
          </w:p>
        </w:tc>
        <w:tc>
          <w:tcPr>
            <w:tcW w:w="9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790,10</w:t>
            </w:r>
          </w:p>
        </w:tc>
        <w:tc>
          <w:tcPr>
            <w:tcW w:w="99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916,52</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992,21</w:t>
            </w:r>
          </w:p>
        </w:tc>
      </w:tr>
      <w:tr>
        <w:trPr>
          <w:trHeight w:val="389" w:hRule="atLeast"/>
        </w:trPr>
        <w:tc>
          <w:tcPr>
            <w:tcW w:w="1981"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1"/>
                <w:szCs w:val="21"/>
              </w:rPr>
              <w:t>Загальне споживання</w:t>
            </w:r>
          </w:p>
        </w:tc>
        <w:tc>
          <w:tcPr>
            <w:tcW w:w="99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501132,97</w:t>
            </w:r>
          </w:p>
        </w:tc>
        <w:tc>
          <w:tcPr>
            <w:tcW w:w="99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522477,07</w:t>
            </w:r>
          </w:p>
        </w:tc>
        <w:tc>
          <w:tcPr>
            <w:tcW w:w="989"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456918,16</w:t>
            </w:r>
          </w:p>
        </w:tc>
        <w:tc>
          <w:tcPr>
            <w:tcW w:w="99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587247,6</w:t>
            </w:r>
          </w:p>
        </w:tc>
        <w:tc>
          <w:tcPr>
            <w:tcW w:w="993"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681319,14</w:t>
            </w:r>
          </w:p>
        </w:tc>
        <w:tc>
          <w:tcPr>
            <w:tcW w:w="990"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607273,67</w:t>
            </w:r>
          </w:p>
        </w:tc>
        <w:tc>
          <w:tcPr>
            <w:tcW w:w="99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433054,32</w:t>
            </w:r>
          </w:p>
        </w:tc>
        <w:tc>
          <w:tcPr>
            <w:tcW w:w="988"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sz w:val="20"/>
                <w:szCs w:val="20"/>
              </w:rPr>
              <w:t>447963,67</w:t>
            </w:r>
          </w:p>
        </w:tc>
      </w:tr>
    </w:tbl>
    <w:p>
      <w:pPr>
        <w:pStyle w:val="Normal"/>
        <w:jc w:val="center"/>
        <w:rPr>
          <w:rFonts w:ascii="Times New Roman" w:hAnsi="Times New Roman" w:cs="Times New Roman"/>
          <w:color w:val="000000"/>
        </w:rPr>
      </w:pPr>
      <w:r>
        <w:rPr>
          <w:rFonts w:cs="Times New Roman" w:ascii="Times New Roman" w:hAnsi="Times New Roman"/>
          <w:color w:val="000000"/>
        </w:rPr>
        <w:drawing>
          <wp:anchor behindDoc="0" distT="0" distB="0" distL="0" distR="0" simplePos="0" locked="0" layoutInCell="0" allowOverlap="1" relativeHeight="11">
            <wp:simplePos x="0" y="0"/>
            <wp:positionH relativeFrom="column">
              <wp:posOffset>1113790</wp:posOffset>
            </wp:positionH>
            <wp:positionV relativeFrom="paragraph">
              <wp:posOffset>147955</wp:posOffset>
            </wp:positionV>
            <wp:extent cx="4324985" cy="2597150"/>
            <wp:effectExtent l="0" t="0" r="0" b="0"/>
            <wp:wrapSquare wrapText="largest"/>
            <wp:docPr id="51" name="Об'єкт63"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anchor>
        </w:drawing>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shd w:fill="FFFFFF" w:val="clear"/>
        </w:rPr>
      </w:pPr>
      <w:r>
        <w:rPr>
          <w:shd w:fill="FFFFFF" w:val="clear"/>
        </w:rPr>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Рисунок Д2.23. </w:t>
      </w:r>
      <w:r>
        <w:rPr>
          <w:rFonts w:eastAsia="Arial" w:cs="Times New Roman" w:ascii="Times New Roman" w:hAnsi="Times New Roman"/>
          <w:color w:val="000000"/>
          <w:kern w:val="2"/>
          <w:sz w:val="24"/>
          <w:szCs w:val="24"/>
          <w:shd w:fill="FFFFFF" w:val="clear"/>
          <w:lang w:eastAsia="zh-CN" w:bidi="hi-IN"/>
        </w:rPr>
        <w:t>Обсяги постачання електроенергії споживачам Луцької МТГ, МВт.год</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Між 2017 та 2021 роками спостерігається загальне зростання споживання електричної енергії на 36 % (рис. Д2.23.). Однак, у 2022-2024 роках відбувся помітний спад причиною якого є пошкодження інфраструктури в результаті воєнних дій РФ проти України.    </w:t>
      </w:r>
    </w:p>
    <w:p>
      <w:pPr>
        <w:pStyle w:val="Normal"/>
        <w:jc w:val="center"/>
        <w:rPr/>
      </w:pPr>
      <w:r>
        <w:rPr/>
        <w:drawing>
          <wp:inline distT="0" distB="0" distL="0" distR="0">
            <wp:extent cx="2908935" cy="1779270"/>
            <wp:effectExtent l="0" t="0" r="0" b="0"/>
            <wp:docPr id="52" name="Об'єкт35"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Normal"/>
        <w:spacing w:before="0" w:after="0"/>
        <w:jc w:val="center"/>
        <w:rPr/>
      </w:pPr>
      <w:r>
        <w:rPr>
          <w:rFonts w:eastAsia="Arial" w:cs="Times New Roman" w:ascii="Times New Roman" w:hAnsi="Times New Roman"/>
          <w:color w:val="000000"/>
          <w:kern w:val="2"/>
          <w:sz w:val="24"/>
          <w:szCs w:val="24"/>
        </w:rPr>
        <w:t xml:space="preserve">Рисунок </w:t>
      </w:r>
      <w:r>
        <w:rPr>
          <w:rFonts w:eastAsia="NSimSun" w:cs="Times New Roman" w:ascii="Times New Roman" w:hAnsi="Times New Roman"/>
          <w:color w:val="000000"/>
          <w:kern w:val="2"/>
          <w:sz w:val="24"/>
          <w:szCs w:val="24"/>
          <w:lang w:eastAsia="zh-CN" w:bidi="hi-IN"/>
        </w:rPr>
        <w:t>Д2.24.</w:t>
      </w:r>
      <w:r>
        <w:rPr>
          <w:rFonts w:eastAsia="Arial" w:cs="Times New Roman" w:ascii="Times New Roman" w:hAnsi="Times New Roman"/>
          <w:color w:val="000000"/>
          <w:kern w:val="2"/>
          <w:sz w:val="24"/>
          <w:szCs w:val="24"/>
        </w:rPr>
        <w:t xml:space="preserve"> Розподіл споживання електроенергії за категоріями споживачів </w:t>
      </w:r>
    </w:p>
    <w:p>
      <w:pPr>
        <w:pStyle w:val="Normal"/>
        <w:spacing w:before="0" w:after="0"/>
        <w:ind w:firstLine="567"/>
        <w:jc w:val="both"/>
        <w:rPr>
          <w:rFonts w:ascii="Times New Roman" w:hAnsi="Times New Roman"/>
          <w:sz w:val="24"/>
          <w:szCs w:val="24"/>
        </w:rPr>
      </w:pPr>
      <w:r>
        <w:rPr>
          <w:rFonts w:ascii="Times New Roman" w:hAnsi="Times New Roman"/>
          <w:sz w:val="24"/>
          <w:szCs w:val="24"/>
        </w:rPr>
      </w:r>
    </w:p>
    <w:p>
      <w:pPr>
        <w:pStyle w:val="Normal"/>
        <w:spacing w:before="0" w:after="0"/>
        <w:ind w:firstLine="567"/>
        <w:jc w:val="both"/>
        <w:rPr>
          <w:rFonts w:ascii="Times New Roman" w:hAnsi="Times New Roman"/>
          <w:sz w:val="24"/>
          <w:szCs w:val="24"/>
        </w:rPr>
      </w:pPr>
      <w:r>
        <w:rPr>
          <w:rFonts w:ascii="Times New Roman" w:hAnsi="Times New Roman"/>
          <w:sz w:val="24"/>
          <w:szCs w:val="24"/>
        </w:rPr>
      </w:r>
    </w:p>
    <w:p>
      <w:pPr>
        <w:pStyle w:val="Normal"/>
        <w:spacing w:before="0" w:after="0"/>
        <w:ind w:firstLine="567"/>
        <w:jc w:val="both"/>
        <w:rPr>
          <w:rFonts w:ascii="Times New Roman" w:hAnsi="Times New Roman"/>
          <w:sz w:val="24"/>
          <w:szCs w:val="24"/>
        </w:rPr>
      </w:pPr>
      <w:r>
        <w:rPr>
          <w:rFonts w:ascii="Times New Roman" w:hAnsi="Times New Roman"/>
          <w:sz w:val="24"/>
          <w:szCs w:val="24"/>
        </w:rPr>
      </w:r>
    </w:p>
    <w:p>
      <w:pPr>
        <w:pStyle w:val="Normal"/>
        <w:spacing w:before="0" w:after="0"/>
        <w:ind w:firstLine="567"/>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lang w:eastAsia="zh-CN" w:bidi="hi-IN"/>
        </w:rPr>
        <w:t>Д2.3.8. Об’єкти з управління побутовими відходами</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Основна частина побутових відходів Луцька та старостинських округів вивозиться на полігон ТПВ у с. Брище, що знаходиться у північній частині громади, за 11 кілометрів від Луцька. Площа полігону ТПВ становить понад 86 га.</w:t>
      </w:r>
    </w:p>
    <w:p>
      <w:pPr>
        <w:pStyle w:val="BodyText"/>
        <w:spacing w:before="0" w:after="0"/>
        <w:ind w:firstLine="567"/>
        <w:jc w:val="both"/>
        <w:rPr/>
      </w:pPr>
      <w:r>
        <w:rPr>
          <w:rFonts w:ascii="Times New Roman" w:hAnsi="Times New Roman"/>
          <w:sz w:val="24"/>
          <w:szCs w:val="24"/>
          <w:shd w:fill="FFFFFF" w:val="clear"/>
        </w:rPr>
        <w:t xml:space="preserve">Динаміка утворення, переробки та накопичення відходів у Луцькій МТГ представлена у таблиці Д2.36. </w:t>
      </w:r>
    </w:p>
    <w:p>
      <w:pPr>
        <w:pStyle w:val="BodyText"/>
        <w:spacing w:before="0" w:after="0"/>
        <w:ind w:firstLine="567"/>
        <w:jc w:val="center"/>
        <w:rPr/>
      </w:pPr>
      <w:r>
        <w:rPr>
          <w:rFonts w:eastAsia="Arial" w:ascii="Times New Roman" w:hAnsi="Times New Roman"/>
          <w:kern w:val="2"/>
          <w:sz w:val="24"/>
          <w:szCs w:val="24"/>
          <w:shd w:fill="FFFFFF" w:val="clear"/>
        </w:rPr>
        <w:t xml:space="preserve">Таблиця </w:t>
      </w:r>
      <w:r>
        <w:rPr>
          <w:rFonts w:eastAsia="NSimSun" w:cs="Times New Roman" w:ascii="Times New Roman" w:hAnsi="Times New Roman"/>
          <w:color w:val="000000"/>
          <w:kern w:val="2"/>
          <w:sz w:val="24"/>
          <w:szCs w:val="24"/>
          <w:shd w:fill="FFFFFF" w:val="clear"/>
          <w:lang w:eastAsia="zh-CN" w:bidi="hi-IN"/>
        </w:rPr>
        <w:t>Д2.36. Динаміка утворення, переробки та накопичення відходів у Луцькій МТГ</w:t>
      </w:r>
    </w:p>
    <w:tbl>
      <w:tblPr>
        <w:tblW w:w="9676" w:type="dxa"/>
        <w:jc w:val="start"/>
        <w:tblInd w:w="96" w:type="dxa"/>
        <w:tblLayout w:type="fixed"/>
        <w:tblCellMar>
          <w:top w:w="55" w:type="dxa"/>
          <w:start w:w="108" w:type="dxa"/>
          <w:bottom w:w="55" w:type="dxa"/>
          <w:end w:w="108" w:type="dxa"/>
        </w:tblCellMar>
        <w:tblLook w:firstRow="1" w:noVBand="1" w:lastRow="0" w:firstColumn="1" w:lastColumn="0" w:noHBand="0" w:val="04a0"/>
      </w:tblPr>
      <w:tblGrid>
        <w:gridCol w:w="2459"/>
        <w:gridCol w:w="904"/>
        <w:gridCol w:w="902"/>
        <w:gridCol w:w="901"/>
        <w:gridCol w:w="901"/>
        <w:gridCol w:w="902"/>
        <w:gridCol w:w="904"/>
        <w:gridCol w:w="907"/>
        <w:gridCol w:w="895"/>
      </w:tblGrid>
      <w:tr>
        <w:trPr/>
        <w:tc>
          <w:tcPr>
            <w:tcW w:w="2459"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Показник</w:t>
            </w:r>
          </w:p>
        </w:tc>
        <w:tc>
          <w:tcPr>
            <w:tcW w:w="904"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2017</w:t>
            </w:r>
          </w:p>
        </w:tc>
        <w:tc>
          <w:tcPr>
            <w:tcW w:w="902"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2018</w:t>
            </w:r>
          </w:p>
        </w:tc>
        <w:tc>
          <w:tcPr>
            <w:tcW w:w="90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2019</w:t>
            </w:r>
          </w:p>
        </w:tc>
        <w:tc>
          <w:tcPr>
            <w:tcW w:w="901"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2020</w:t>
            </w:r>
          </w:p>
        </w:tc>
        <w:tc>
          <w:tcPr>
            <w:tcW w:w="902"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2021</w:t>
            </w:r>
          </w:p>
        </w:tc>
        <w:tc>
          <w:tcPr>
            <w:tcW w:w="904"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2022</w:t>
            </w:r>
          </w:p>
        </w:tc>
        <w:tc>
          <w:tcPr>
            <w:tcW w:w="907"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ascii="Times New Roman" w:hAnsi="Times New Roman"/>
                <w:sz w:val="20"/>
                <w:szCs w:val="20"/>
                <w:shd w:fill="FFFFFF" w:val="clear"/>
              </w:rPr>
              <w:t>2023</w:t>
            </w:r>
          </w:p>
        </w:tc>
        <w:tc>
          <w:tcPr>
            <w:tcW w:w="89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ascii="Times New Roman" w:hAnsi="Times New Roman"/>
                <w:sz w:val="20"/>
                <w:szCs w:val="20"/>
              </w:rPr>
              <w:t>2024</w:t>
            </w:r>
          </w:p>
        </w:tc>
      </w:tr>
      <w:tr>
        <w:trPr/>
        <w:tc>
          <w:tcPr>
            <w:tcW w:w="2459" w:type="dxa"/>
            <w:tcBorders>
              <w:start w:val="single" w:sz="4" w:space="0" w:color="000000"/>
              <w:bottom w:val="single" w:sz="4" w:space="0" w:color="000000"/>
            </w:tcBorders>
          </w:tcPr>
          <w:p>
            <w:pPr>
              <w:pStyle w:val="Normal"/>
              <w:spacing w:lineRule="auto" w:line="240" w:before="0" w:after="0"/>
              <w:rPr/>
            </w:pPr>
            <w:r>
              <w:rPr>
                <w:rFonts w:ascii="Times New Roman" w:hAnsi="Times New Roman"/>
                <w:color w:val="000000"/>
                <w:sz w:val="20"/>
                <w:szCs w:val="20"/>
                <w:shd w:fill="FFFFFF" w:val="clear"/>
              </w:rPr>
              <w:t>Кількість сміттєвозів (од.)</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26</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21</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23</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23</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23</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24</w:t>
            </w:r>
          </w:p>
        </w:tc>
        <w:tc>
          <w:tcPr>
            <w:tcW w:w="90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28</w:t>
            </w:r>
          </w:p>
        </w:tc>
        <w:tc>
          <w:tcPr>
            <w:tcW w:w="89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24</w:t>
            </w:r>
          </w:p>
        </w:tc>
      </w:tr>
      <w:tr>
        <w:trPr/>
        <w:tc>
          <w:tcPr>
            <w:tcW w:w="2459"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shd w:fill="FFFFFF" w:val="clear"/>
              </w:rPr>
              <w:t>Спецтехніка залучена до вивезення та утилізації побутових відходів</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4</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6</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w:t>
            </w:r>
          </w:p>
        </w:tc>
        <w:tc>
          <w:tcPr>
            <w:tcW w:w="90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11</w:t>
            </w:r>
          </w:p>
        </w:tc>
        <w:tc>
          <w:tcPr>
            <w:tcW w:w="89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11</w:t>
            </w:r>
          </w:p>
        </w:tc>
      </w:tr>
      <w:tr>
        <w:trPr/>
        <w:tc>
          <w:tcPr>
            <w:tcW w:w="2459" w:type="dxa"/>
            <w:tcBorders>
              <w:start w:val="single" w:sz="4" w:space="0" w:color="000000"/>
              <w:bottom w:val="single" w:sz="4" w:space="0" w:color="000000"/>
            </w:tcBorders>
          </w:tcPr>
          <w:p>
            <w:pPr>
              <w:pStyle w:val="Normal"/>
              <w:spacing w:lineRule="auto" w:line="240" w:before="0" w:after="0"/>
              <w:rPr/>
            </w:pPr>
            <w:r>
              <w:rPr>
                <w:rFonts w:ascii="Times New Roman" w:hAnsi="Times New Roman"/>
                <w:color w:val="000000"/>
                <w:sz w:val="20"/>
                <w:szCs w:val="20"/>
                <w:shd w:fill="FFFFFF" w:val="clear"/>
              </w:rPr>
              <w:t>Кількість наявних контейнерів для збору відходів (од.)</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1037</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1087</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1087</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1370</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1420</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1418</w:t>
            </w:r>
          </w:p>
        </w:tc>
        <w:tc>
          <w:tcPr>
            <w:tcW w:w="90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1460</w:t>
            </w:r>
          </w:p>
        </w:tc>
        <w:tc>
          <w:tcPr>
            <w:tcW w:w="89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1486</w:t>
            </w:r>
          </w:p>
        </w:tc>
      </w:tr>
      <w:tr>
        <w:trPr/>
        <w:tc>
          <w:tcPr>
            <w:tcW w:w="2459" w:type="dxa"/>
            <w:tcBorders>
              <w:start w:val="single" w:sz="4" w:space="0" w:color="000000"/>
              <w:bottom w:val="single" w:sz="4" w:space="0" w:color="000000"/>
            </w:tcBorders>
          </w:tcPr>
          <w:p>
            <w:pPr>
              <w:pStyle w:val="Normal"/>
              <w:widowControl w:val="false"/>
              <w:spacing w:lineRule="auto" w:line="240" w:before="0" w:after="0"/>
              <w:rPr/>
            </w:pPr>
            <w:r>
              <w:rPr>
                <w:rFonts w:ascii="Times New Roman" w:hAnsi="Times New Roman"/>
                <w:sz w:val="20"/>
                <w:szCs w:val="20"/>
                <w:shd w:fill="FFFFFF" w:val="clear"/>
              </w:rPr>
              <w:t>Кількість побутових відходів, що було вивезено та утилізовано (тис. т)</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84,9</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85,1</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89,7</w:t>
            </w:r>
          </w:p>
        </w:tc>
        <w:tc>
          <w:tcPr>
            <w:tcW w:w="901"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85,3</w:t>
            </w:r>
          </w:p>
        </w:tc>
        <w:tc>
          <w:tcPr>
            <w:tcW w:w="902"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90,9</w:t>
            </w:r>
          </w:p>
        </w:tc>
        <w:tc>
          <w:tcPr>
            <w:tcW w:w="904"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73,1</w:t>
            </w:r>
          </w:p>
        </w:tc>
        <w:tc>
          <w:tcPr>
            <w:tcW w:w="907" w:type="dxa"/>
            <w:tcBorders>
              <w:start w:val="single" w:sz="4" w:space="0" w:color="000000"/>
              <w:bottom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shd w:fill="FFFFFF" w:val="clear"/>
              </w:rPr>
              <w:t>83,2</w:t>
            </w:r>
          </w:p>
        </w:tc>
        <w:tc>
          <w:tcPr>
            <w:tcW w:w="895"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jc w:val="center"/>
              <w:rPr/>
            </w:pPr>
            <w:r>
              <w:rPr>
                <w:rFonts w:ascii="Times New Roman" w:hAnsi="Times New Roman"/>
                <w:sz w:val="20"/>
                <w:szCs w:val="20"/>
              </w:rPr>
              <w:t>64,9</w:t>
            </w:r>
          </w:p>
        </w:tc>
      </w:tr>
    </w:tbl>
    <w:p>
      <w:pPr>
        <w:pStyle w:val="BodyText"/>
        <w:spacing w:before="0" w:after="0"/>
        <w:ind w:firstLine="567"/>
        <w:jc w:val="both"/>
        <w:rPr/>
      </w:pPr>
      <w:r>
        <w:rPr>
          <w:rFonts w:ascii="Times New Roman" w:hAnsi="Times New Roman"/>
          <w:sz w:val="24"/>
          <w:szCs w:val="24"/>
          <w:shd w:fill="FFFFFF" w:val="clear"/>
        </w:rPr>
        <w:t>До підприємств, які мають найбільші обсяги накопичених відходів у спеціально відведених місцях належать: Луцьке спеціальне комунальне автотранспортне підприємство «Луцькспецкомунтранс» – 343,9 тис. т (39,7 % загального обсягу) та комунальне підприємство «Луцькводоканал» – 522,0 тис. т (60,3 %).</w:t>
      </w:r>
    </w:p>
    <w:p>
      <w:pPr>
        <w:pStyle w:val="BodyText"/>
        <w:tabs>
          <w:tab w:val="clear" w:pos="708"/>
          <w:tab w:val="left" w:pos="555" w:leader="none"/>
        </w:tabs>
        <w:spacing w:before="0" w:after="0"/>
        <w:ind w:firstLine="567"/>
        <w:jc w:val="both"/>
        <w:rPr/>
      </w:pPr>
      <w:r>
        <w:rPr>
          <w:rFonts w:ascii="Times New Roman" w:hAnsi="Times New Roman"/>
          <w:sz w:val="24"/>
          <w:szCs w:val="24"/>
          <w:shd w:fill="FFFFFF" w:val="clear"/>
        </w:rPr>
        <w:t>Найбільша частка утворених відходів (понад 98%) припадає на відходи ІV класу небезпеки (малонебезпечні відходи, які мають мінімальний вплив на навколишнє середовище та здоров'я людини при правильному поводженні (наприклад скло, кераміка, одяг, папір, дерево, залишки їжі і т. д.)).</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Сміттєсортувальна станція для сортування відходів, які надходять з прилеглих сільських громад, змонтована на полігоні в с. Брище. У громаді працює ряд приватних компаній та підприємців, які забезпечують приймання та передачу на перероблення різних фракцій вторинної сировини.</w:t>
      </w:r>
    </w:p>
    <w:p>
      <w:pPr>
        <w:pStyle w:val="BodyText"/>
        <w:tabs>
          <w:tab w:val="clear" w:pos="708"/>
          <w:tab w:val="left" w:pos="555" w:leader="none"/>
        </w:tabs>
        <w:spacing w:before="0" w:after="0"/>
        <w:ind w:firstLine="567"/>
        <w:jc w:val="both"/>
        <w:rPr/>
      </w:pPr>
      <w:r>
        <w:rPr>
          <w:rFonts w:ascii="Times New Roman" w:hAnsi="Times New Roman"/>
          <w:sz w:val="24"/>
          <w:szCs w:val="24"/>
          <w:shd w:fill="FFFFFF" w:val="clear"/>
        </w:rPr>
        <w:t xml:space="preserve">Основним способом видалення твердих побутових відходів (ТПВ) є їх захоронення на полігоні в с. Брище. </w:t>
      </w:r>
    </w:p>
    <w:p>
      <w:pPr>
        <w:pStyle w:val="Normal"/>
        <w:spacing w:before="0" w:after="0"/>
        <w:ind w:firstLine="567"/>
        <w:jc w:val="both"/>
        <w:rPr/>
      </w:pPr>
      <w:r>
        <w:rPr>
          <w:rFonts w:ascii="Times New Roman" w:hAnsi="Times New Roman"/>
          <w:color w:val="000000"/>
          <w:sz w:val="24"/>
          <w:szCs w:val="24"/>
        </w:rPr>
        <w:t xml:space="preserve">У 2024 році місто стало учасником Програми Zero Waste Certified City – це міжнародна ініціатива, спрямована на сприяння переходу міст до економіки замкненого циклу. Сертифікація підтверджуватиме досягнення міста в сфері управління відходами та його прагнення до створення сталого майбутнього. </w:t>
      </w:r>
    </w:p>
    <w:p>
      <w:pPr>
        <w:pStyle w:val="Normal"/>
        <w:spacing w:before="0" w:after="0"/>
        <w:ind w:firstLine="567"/>
        <w:jc w:val="both"/>
        <w:rPr/>
      </w:pPr>
      <w:r>
        <w:rPr>
          <w:rFonts w:ascii="Times New Roman" w:hAnsi="Times New Roman"/>
          <w:color w:val="000000"/>
          <w:sz w:val="24"/>
          <w:szCs w:val="24"/>
        </w:rPr>
        <w:t xml:space="preserve">Результат участі громади в цій програмі: </w:t>
      </w:r>
    </w:p>
    <w:p>
      <w:pPr>
        <w:pStyle w:val="Normal"/>
        <w:spacing w:before="0" w:after="0"/>
        <w:ind w:firstLine="567"/>
        <w:jc w:val="both"/>
        <w:rPr/>
      </w:pPr>
      <w:r>
        <w:rPr>
          <w:rFonts w:ascii="Times New Roman" w:hAnsi="Times New Roman"/>
          <w:color w:val="000000"/>
          <w:sz w:val="24"/>
          <w:szCs w:val="24"/>
        </w:rPr>
        <w:t>1) поступове скорочення кількості побутових відходів, які утворюються у громаді з 340 кг на душу населення до 120 кг шляхом запровадження різноманітних заходів їх роздільного збирання,  компостування, повторної перероблення та недопущення утворення, а також відмови від технологій спалювання відходів, зменшення обсягів захоронення відходів на полігоні.</w:t>
      </w:r>
    </w:p>
    <w:p>
      <w:pPr>
        <w:pStyle w:val="Normal"/>
        <w:spacing w:before="0" w:after="0"/>
        <w:ind w:firstLine="567"/>
        <w:jc w:val="both"/>
        <w:rPr/>
      </w:pPr>
      <w:r>
        <w:rPr>
          <w:rFonts w:ascii="Times New Roman" w:hAnsi="Times New Roman"/>
          <w:color w:val="000000"/>
          <w:sz w:val="24"/>
          <w:szCs w:val="24"/>
        </w:rPr>
        <w:t>2) залучення громадськості, бізнесу та інших зацікавлених сторін до процесу переходу на безвідходне виробництво та споживання,  заохочення перероблення матеріалів, повторного використання товарів та створення нових продуктів з відходів;.</w:t>
      </w:r>
    </w:p>
    <w:p>
      <w:pPr>
        <w:pStyle w:val="Normal"/>
        <w:spacing w:before="0" w:after="0"/>
        <w:ind w:firstLine="567"/>
        <w:jc w:val="both"/>
        <w:rPr/>
      </w:pPr>
      <w:r>
        <w:rPr>
          <w:rFonts w:ascii="Times New Roman" w:hAnsi="Times New Roman"/>
          <w:color w:val="000000"/>
          <w:sz w:val="24"/>
          <w:szCs w:val="24"/>
        </w:rPr>
        <w:t>3) зменшення кількості відходів сприятиме покращенню якості повітря та води, а також зменшенню ризику виникнення захворювань.</w:t>
      </w:r>
    </w:p>
    <w:p>
      <w:pPr>
        <w:pStyle w:val="Normal"/>
        <w:spacing w:before="0" w:after="0"/>
        <w:ind w:firstLine="567"/>
        <w:jc w:val="both"/>
        <w:rPr/>
      </w:pPr>
      <w:r>
        <w:rPr>
          <w:rFonts w:ascii="Times New Roman" w:hAnsi="Times New Roman"/>
          <w:color w:val="000000"/>
          <w:sz w:val="24"/>
          <w:szCs w:val="24"/>
        </w:rPr>
        <w:t xml:space="preserve">4) сертифіковані міста стають більш привабливими для інвесторів, оскільки демонструють свою відповідальність перед довкіллям. Перехід до циркулярної економіки стимулює розвиток нових галузей та створює нові робочі місця. </w:t>
      </w:r>
    </w:p>
    <w:p>
      <w:pPr>
        <w:pStyle w:val="Normal"/>
        <w:spacing w:before="0" w:after="0"/>
        <w:ind w:firstLine="567"/>
        <w:jc w:val="both"/>
        <w:rPr/>
      </w:pPr>
      <w:r>
        <w:rPr>
          <w:rFonts w:ascii="Times New Roman" w:hAnsi="Times New Roman"/>
          <w:color w:val="000000"/>
          <w:sz w:val="24"/>
          <w:szCs w:val="24"/>
        </w:rPr>
        <w:t>Громада також стала учасником міжнародного проєкту «Міста нуль відходів в Україні», спрямованого на покращення системи управління відходами. Участь у проєкті забезпечить можливість посилити інституційну спроможність муніципалітету в питаннях управління з відходами.</w:t>
      </w:r>
    </w:p>
    <w:p>
      <w:pPr>
        <w:pStyle w:val="Normal"/>
        <w:spacing w:before="0" w:after="0"/>
        <w:ind w:firstLine="567"/>
        <w:jc w:val="both"/>
        <w:rPr/>
      </w:pPr>
      <w:r>
        <w:rPr>
          <w:rFonts w:ascii="Times New Roman" w:hAnsi="Times New Roman"/>
          <w:color w:val="000000"/>
          <w:sz w:val="24"/>
          <w:szCs w:val="24"/>
        </w:rPr>
        <w:t>У місті активно впроваджується практика сортування побутових відходів через три Центри управління відходами, встановлення додаткового обладнання для сортування відходів. Для закладів дошкільної освіти у 2024 році закуплено 57 кольорових контейнери для роздільного збору ПЕТ пляшки та скла, вартістю 98 тис. грн.,  до них розроблено спеціальні інформаційні наліпки.</w:t>
      </w:r>
    </w:p>
    <w:p>
      <w:pPr>
        <w:pStyle w:val="Normal"/>
        <w:spacing w:before="0" w:after="0"/>
        <w:ind w:firstLine="567"/>
        <w:jc w:val="both"/>
        <w:rPr/>
      </w:pPr>
      <w:r>
        <w:rPr>
          <w:rFonts w:ascii="Times New Roman" w:hAnsi="Times New Roman"/>
          <w:color w:val="000000"/>
          <w:sz w:val="24"/>
          <w:szCs w:val="24"/>
        </w:rPr>
        <w:t xml:space="preserve">Триває реалізація окремих проєктів щодо роздільного збору відходів, наприклад таких як організація збору блістерів від ліків, компостування органічних відходів, збір макулатури, батарейок та кришечок від ПЕТ пляшок.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Забезпечено збір від населення, вивезення та передачу на утилізацію  відходів 1 класу небезпеки: 3000 кг відпрацьованих батарейок, вартість послуг становила 220 тис. грн.</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 xml:space="preserve">У м. Луцьку також запроваджено компостування органічних відходів у загальноосвітніх навчальних закладах громади.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З 2017 року на полігоні ТПВ в с. Брище працює станція дегазації. Загальна потужність станції 330 кВт/год (детально див. пункт Д2.3.13. Потенціал використання відновлювальних джерел енергії). </w:t>
      </w:r>
    </w:p>
    <w:p>
      <w:pPr>
        <w:pStyle w:val="BodyText"/>
        <w:spacing w:before="0" w:after="0"/>
        <w:ind w:firstLine="567"/>
        <w:jc w:val="both"/>
        <w:rPr>
          <w:strike/>
        </w:rPr>
      </w:pPr>
      <w:r>
        <w:rPr>
          <w:strike/>
        </w:rPr>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Д2.3.9. Третинний сектор</w:t>
      </w:r>
    </w:p>
    <w:p>
      <w:pPr>
        <w:pStyle w:val="Normal"/>
        <w:spacing w:lineRule="auto" w:line="240"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Об’єкти промисловості, сільського господарства та сфери послуг</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Найбільшими споживачами енергоресурсів у Луцькій МТГ є: ПрАТ «СКФ Україна», ПрАТ «ВГП», ПрАТ «Теремно Хліб», ТОВ «Татрафан», ТОВ «Луцька картонно-паперова фабрика», ТОВ «Теріхем Тервакоскі», ТОВ «Лад бетон», ТОВ «Жасмін Лінжері», ТОВ «Волинь-зернопродукт», ДП «Луцький ремонтний завод «Мотор», ДП «Автоскладальний завод №1» ПАТ «Автомобільна компанія «Богдан Моторс», ДКП «Луцьктепло».</w:t>
      </w:r>
    </w:p>
    <w:p>
      <w:pPr>
        <w:pStyle w:val="Normal"/>
        <w:shd w:val="clear" w:color="auto" w:fill="FFFFFF"/>
        <w:spacing w:before="0" w:after="0"/>
        <w:ind w:firstLine="737"/>
        <w:jc w:val="both"/>
        <w:rPr/>
      </w:pPr>
      <w:r>
        <w:rPr>
          <w:rFonts w:cs="Times New Roman" w:ascii="Times New Roman" w:hAnsi="Times New Roman"/>
          <w:color w:val="000000"/>
          <w:sz w:val="24"/>
          <w:szCs w:val="24"/>
          <w:shd w:fill="FFFFFF" w:val="clear"/>
          <w:lang w:eastAsia="ru-RU"/>
        </w:rPr>
        <w:t>Агропромисловий комплекс Луцької МТГ представлений агропідприємствами, фермерськими господарствами та особистими селянськими господарствами, які займаються вирощуванням зернових, бобових та олійних культур, ягідників, розведенням великої рогатої худоби, молочарством, овочівництвом та бджолярством. Господарська діяльність здебільшого здійснюється на землях, наданих у власність та/або користування, у тому числі в оренду, для ведення фермерського господарства, товарного сільськогосподарського виробництва або особистого селянського господарства.</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В переважній більшості об’єкти промисловості і комерційних структур громади, підключені до електромережі, мережі газопостачання, централізованого теплопостачання, водопостачання та водовідведення.</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Споживання енергоресурсів промисловістю та комерційними структурами Луцької МТГ представлено в таблиці Д2.37.</w:t>
      </w:r>
    </w:p>
    <w:p>
      <w:pPr>
        <w:pStyle w:val="Normal"/>
        <w:spacing w:before="0" w:after="0"/>
        <w:ind w:firstLine="567"/>
        <w:jc w:val="center"/>
        <w:rPr/>
      </w:pPr>
      <w:r>
        <w:rPr/>
      </w:r>
    </w:p>
    <w:p>
      <w:pPr>
        <w:pStyle w:val="Normal"/>
        <w:spacing w:before="0" w:after="0"/>
        <w:ind w:firstLine="567"/>
        <w:jc w:val="center"/>
        <w:rPr/>
      </w:pPr>
      <w:r>
        <w:rPr/>
      </w:r>
    </w:p>
    <w:p>
      <w:pPr>
        <w:pStyle w:val="Normal"/>
        <w:spacing w:before="0" w:after="0"/>
        <w:ind w:firstLine="567"/>
        <w:jc w:val="center"/>
        <w:rPr/>
      </w:pPr>
      <w:r>
        <w:rPr>
          <w:rFonts w:eastAsia="NSimSun" w:cs="Times New Roman" w:ascii="Times New Roman" w:hAnsi="Times New Roman"/>
          <w:color w:val="000000"/>
          <w:kern w:val="2"/>
          <w:sz w:val="24"/>
          <w:szCs w:val="24"/>
          <w:lang w:eastAsia="zh-CN" w:bidi="hi-IN"/>
        </w:rPr>
        <w:t>Таблиця Д2.37. Споживання енергоресурсів промисловістю та комерційними структурами Луцької МТГ, МВт.год</w:t>
      </w:r>
    </w:p>
    <w:tbl>
      <w:tblPr>
        <w:tblW w:w="9520" w:type="dxa"/>
        <w:jc w:val="start"/>
        <w:tblInd w:w="30" w:type="dxa"/>
        <w:tblLayout w:type="fixed"/>
        <w:tblCellMar>
          <w:top w:w="28" w:type="dxa"/>
          <w:start w:w="28" w:type="dxa"/>
          <w:bottom w:w="28" w:type="dxa"/>
          <w:end w:w="28" w:type="dxa"/>
        </w:tblCellMar>
        <w:tblLook w:firstRow="1" w:noVBand="1" w:lastRow="0" w:firstColumn="1" w:lastColumn="0" w:noHBand="0" w:val="04a0"/>
      </w:tblPr>
      <w:tblGrid>
        <w:gridCol w:w="1682"/>
        <w:gridCol w:w="975"/>
        <w:gridCol w:w="985"/>
        <w:gridCol w:w="979"/>
        <w:gridCol w:w="978"/>
        <w:gridCol w:w="985"/>
        <w:gridCol w:w="975"/>
        <w:gridCol w:w="989"/>
        <w:gridCol w:w="971"/>
      </w:tblGrid>
      <w:tr>
        <w:trPr/>
        <w:tc>
          <w:tcPr>
            <w:tcW w:w="1682"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uppressLineNumbers/>
              <w:spacing w:lineRule="auto" w:line="240" w:before="0" w:after="0"/>
              <w:jc w:val="center"/>
              <w:rPr/>
            </w:pPr>
            <w:r>
              <w:rPr>
                <w:rFonts w:eastAsia="NSimSun" w:cs="Times New Roman" w:ascii="Times New Roman" w:hAnsi="Times New Roman"/>
                <w:kern w:val="2"/>
                <w:sz w:val="20"/>
                <w:szCs w:val="20"/>
                <w:lang w:eastAsia="zh-CN" w:bidi="hi-IN"/>
              </w:rPr>
              <w:t>Види енергоресурсу</w:t>
            </w:r>
          </w:p>
        </w:tc>
        <w:tc>
          <w:tcPr>
            <w:tcW w:w="7837" w:type="dxa"/>
            <w:gridSpan w:val="8"/>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Роки</w:t>
            </w:r>
          </w:p>
        </w:tc>
      </w:tr>
      <w:tr>
        <w:trPr/>
        <w:tc>
          <w:tcPr>
            <w:tcW w:w="1682"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rPr>
                <w:rFonts w:ascii="Times New Roman" w:hAnsi="Times New Roman"/>
                <w:sz w:val="20"/>
                <w:szCs w:val="20"/>
              </w:rPr>
            </w:pPr>
            <w:r>
              <w:rPr>
                <w:rFonts w:ascii="Times New Roman" w:hAnsi="Times New Roman"/>
                <w:sz w:val="20"/>
                <w:szCs w:val="20"/>
              </w:rPr>
            </w:r>
          </w:p>
        </w:tc>
        <w:tc>
          <w:tcPr>
            <w:tcW w:w="975"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 xml:space="preserve"> </w:t>
            </w:r>
            <w:r>
              <w:rPr>
                <w:rFonts w:eastAsia="NSimSun" w:cs="Times New Roman" w:ascii="Times New Roman" w:hAnsi="Times New Roman"/>
                <w:kern w:val="2"/>
                <w:sz w:val="20"/>
                <w:szCs w:val="20"/>
                <w:lang w:eastAsia="zh-CN" w:bidi="hi-IN"/>
              </w:rPr>
              <w:t>2017</w:t>
            </w:r>
          </w:p>
        </w:tc>
        <w:tc>
          <w:tcPr>
            <w:tcW w:w="985"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2018</w:t>
            </w:r>
          </w:p>
        </w:tc>
        <w:tc>
          <w:tcPr>
            <w:tcW w:w="9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2019</w:t>
            </w:r>
          </w:p>
        </w:tc>
        <w:tc>
          <w:tcPr>
            <w:tcW w:w="978"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2020</w:t>
            </w:r>
          </w:p>
        </w:tc>
        <w:tc>
          <w:tcPr>
            <w:tcW w:w="98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cs="Times New Roman" w:ascii="Times New Roman" w:hAnsi="Times New Roman"/>
                <w:sz w:val="20"/>
                <w:szCs w:val="20"/>
              </w:rPr>
              <w:t>2021</w:t>
            </w:r>
          </w:p>
        </w:tc>
        <w:tc>
          <w:tcPr>
            <w:tcW w:w="97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2022</w:t>
            </w:r>
          </w:p>
        </w:tc>
        <w:tc>
          <w:tcPr>
            <w:tcW w:w="989" w:type="dxa"/>
            <w:tcBorders>
              <w:top w:val="single" w:sz="4" w:space="0" w:color="000000"/>
              <w:start w:val="single" w:sz="4" w:space="0" w:color="000000"/>
              <w:bottom w:val="single" w:sz="4"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2023</w:t>
            </w:r>
          </w:p>
        </w:tc>
        <w:tc>
          <w:tcPr>
            <w:tcW w:w="97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NSimSun" w:cs="Times New Roman" w:ascii="Times New Roman" w:hAnsi="Times New Roman"/>
                <w:kern w:val="2"/>
                <w:sz w:val="20"/>
                <w:szCs w:val="20"/>
                <w:lang w:eastAsia="zh-CN" w:bidi="hi-IN"/>
              </w:rPr>
              <w:t>2024</w:t>
            </w:r>
          </w:p>
        </w:tc>
      </w:tr>
      <w:tr>
        <w:trPr/>
        <w:tc>
          <w:tcPr>
            <w:tcW w:w="16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NSimSun" w:cs="Times New Roman" w:ascii="Times New Roman" w:hAnsi="Times New Roman"/>
                <w:kern w:val="2"/>
                <w:sz w:val="20"/>
                <w:szCs w:val="20"/>
                <w:lang w:eastAsia="zh-CN" w:bidi="hi-IN"/>
              </w:rPr>
              <w:t>Теплова енергія</w:t>
            </w:r>
          </w:p>
        </w:tc>
        <w:tc>
          <w:tcPr>
            <w:tcW w:w="97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23667,1</w:t>
            </w:r>
          </w:p>
        </w:tc>
        <w:tc>
          <w:tcPr>
            <w:tcW w:w="98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21480,6</w:t>
            </w:r>
          </w:p>
        </w:tc>
        <w:tc>
          <w:tcPr>
            <w:tcW w:w="979"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14735,2</w:t>
            </w:r>
          </w:p>
        </w:tc>
        <w:tc>
          <w:tcPr>
            <w:tcW w:w="978"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12979,1</w:t>
            </w:r>
          </w:p>
        </w:tc>
        <w:tc>
          <w:tcPr>
            <w:tcW w:w="98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15049,2</w:t>
            </w:r>
          </w:p>
        </w:tc>
        <w:tc>
          <w:tcPr>
            <w:tcW w:w="97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9536,6</w:t>
            </w:r>
          </w:p>
        </w:tc>
        <w:tc>
          <w:tcPr>
            <w:tcW w:w="989"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12327,8</w:t>
            </w:r>
          </w:p>
        </w:tc>
        <w:tc>
          <w:tcPr>
            <w:tcW w:w="971"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10898,8</w:t>
            </w:r>
          </w:p>
        </w:tc>
      </w:tr>
      <w:tr>
        <w:trPr/>
        <w:tc>
          <w:tcPr>
            <w:tcW w:w="16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NSimSun" w:cs="Times New Roman" w:ascii="Times New Roman" w:hAnsi="Times New Roman"/>
                <w:kern w:val="2"/>
                <w:sz w:val="20"/>
                <w:szCs w:val="20"/>
                <w:lang w:eastAsia="zh-CN" w:bidi="hi-IN"/>
              </w:rPr>
              <w:t>Природний газ</w:t>
            </w:r>
          </w:p>
        </w:tc>
        <w:tc>
          <w:tcPr>
            <w:tcW w:w="97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30278,4</w:t>
            </w:r>
          </w:p>
        </w:tc>
        <w:tc>
          <w:tcPr>
            <w:tcW w:w="98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27599,4</w:t>
            </w:r>
          </w:p>
        </w:tc>
        <w:tc>
          <w:tcPr>
            <w:tcW w:w="979"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25979,6</w:t>
            </w:r>
          </w:p>
        </w:tc>
        <w:tc>
          <w:tcPr>
            <w:tcW w:w="978"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193260,6</w:t>
            </w:r>
          </w:p>
        </w:tc>
        <w:tc>
          <w:tcPr>
            <w:tcW w:w="98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182752,7</w:t>
            </w:r>
          </w:p>
        </w:tc>
        <w:tc>
          <w:tcPr>
            <w:tcW w:w="97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124101,7</w:t>
            </w:r>
          </w:p>
        </w:tc>
        <w:tc>
          <w:tcPr>
            <w:tcW w:w="989"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338868,9</w:t>
            </w:r>
          </w:p>
        </w:tc>
        <w:tc>
          <w:tcPr>
            <w:tcW w:w="971"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371517,2</w:t>
            </w:r>
          </w:p>
        </w:tc>
      </w:tr>
      <w:tr>
        <w:trPr/>
        <w:tc>
          <w:tcPr>
            <w:tcW w:w="16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NSimSun" w:cs="Times New Roman" w:ascii="Times New Roman" w:hAnsi="Times New Roman"/>
                <w:kern w:val="2"/>
                <w:sz w:val="20"/>
                <w:szCs w:val="20"/>
                <w:lang w:eastAsia="zh-CN" w:bidi="hi-IN"/>
              </w:rPr>
              <w:t>Електроенергія</w:t>
            </w:r>
          </w:p>
        </w:tc>
        <w:tc>
          <w:tcPr>
            <w:tcW w:w="97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289693,0</w:t>
            </w:r>
          </w:p>
        </w:tc>
        <w:tc>
          <w:tcPr>
            <w:tcW w:w="98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306380,0</w:t>
            </w:r>
          </w:p>
        </w:tc>
        <w:tc>
          <w:tcPr>
            <w:tcW w:w="979"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241075,0</w:t>
            </w:r>
          </w:p>
        </w:tc>
        <w:tc>
          <w:tcPr>
            <w:tcW w:w="978"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318766,0</w:t>
            </w:r>
          </w:p>
        </w:tc>
        <w:tc>
          <w:tcPr>
            <w:tcW w:w="98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367085,0</w:t>
            </w:r>
          </w:p>
        </w:tc>
        <w:tc>
          <w:tcPr>
            <w:tcW w:w="97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306496,0</w:t>
            </w:r>
          </w:p>
        </w:tc>
        <w:tc>
          <w:tcPr>
            <w:tcW w:w="989"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214391,0</w:t>
            </w:r>
          </w:p>
        </w:tc>
        <w:tc>
          <w:tcPr>
            <w:tcW w:w="971"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237718,7</w:t>
            </w:r>
          </w:p>
        </w:tc>
      </w:tr>
      <w:tr>
        <w:trPr/>
        <w:tc>
          <w:tcPr>
            <w:tcW w:w="16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pPr>
            <w:r>
              <w:rPr>
                <w:rFonts w:eastAsia="NSimSun" w:cs="Times New Roman" w:ascii="Times New Roman" w:hAnsi="Times New Roman"/>
                <w:kern w:val="2"/>
                <w:sz w:val="20"/>
                <w:szCs w:val="20"/>
                <w:lang w:eastAsia="zh-CN" w:bidi="hi-IN"/>
              </w:rPr>
              <w:t>Всього</w:t>
            </w:r>
          </w:p>
        </w:tc>
        <w:tc>
          <w:tcPr>
            <w:tcW w:w="97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sz w:val="20"/>
                <w:szCs w:val="20"/>
              </w:rPr>
              <w:t>343638,5</w:t>
            </w:r>
          </w:p>
        </w:tc>
        <w:tc>
          <w:tcPr>
            <w:tcW w:w="985"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sz w:val="20"/>
                <w:szCs w:val="20"/>
              </w:rPr>
              <w:t>355460</w:t>
            </w:r>
          </w:p>
        </w:tc>
        <w:tc>
          <w:tcPr>
            <w:tcW w:w="979"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281789,8</w:t>
            </w:r>
          </w:p>
        </w:tc>
        <w:tc>
          <w:tcPr>
            <w:tcW w:w="978"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sz w:val="20"/>
                <w:szCs w:val="20"/>
              </w:rPr>
              <w:t>525005,7</w:t>
            </w:r>
          </w:p>
        </w:tc>
        <w:tc>
          <w:tcPr>
            <w:tcW w:w="98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564886,9</w:t>
            </w:r>
          </w:p>
        </w:tc>
        <w:tc>
          <w:tcPr>
            <w:tcW w:w="975"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440134,3</w:t>
            </w:r>
          </w:p>
        </w:tc>
        <w:tc>
          <w:tcPr>
            <w:tcW w:w="989" w:type="dxa"/>
            <w:tcBorders>
              <w:top w:val="single" w:sz="4" w:space="0" w:color="000000"/>
              <w:start w:val="single" w:sz="4" w:space="0" w:color="000000"/>
              <w:bottom w:val="single" w:sz="4" w:space="0" w:color="000000"/>
            </w:tcBorders>
          </w:tcPr>
          <w:p>
            <w:pPr>
              <w:pStyle w:val="Style25"/>
              <w:spacing w:before="0" w:after="0"/>
              <w:jc w:val="center"/>
              <w:rPr/>
            </w:pPr>
            <w:r>
              <w:rPr>
                <w:rFonts w:ascii="Times New Roman" w:hAnsi="Times New Roman"/>
                <w:sz w:val="20"/>
                <w:szCs w:val="20"/>
              </w:rPr>
              <w:t>565587,7</w:t>
            </w:r>
          </w:p>
        </w:tc>
        <w:tc>
          <w:tcPr>
            <w:tcW w:w="971" w:type="dxa"/>
            <w:tcBorders>
              <w:top w:val="single" w:sz="4" w:space="0" w:color="000000"/>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620134,7</w:t>
            </w:r>
          </w:p>
        </w:tc>
      </w:tr>
    </w:tbl>
    <w:p>
      <w:pPr>
        <w:pStyle w:val="Normal"/>
        <w:spacing w:before="0" w:after="0"/>
        <w:ind w:firstLine="567"/>
        <w:jc w:val="both"/>
        <w:rPr/>
      </w:pPr>
      <w:r>
        <w:rPr>
          <w:rFonts w:ascii="Times New Roman" w:hAnsi="Times New Roman"/>
          <w:sz w:val="24"/>
          <w:szCs w:val="24"/>
        </w:rPr>
        <w:t xml:space="preserve">Аналіз таблиці Д2.37. показує, що загальне споживання енергоресурсів промисловістю та комерційними структурами Луцької МТГ має тенденцію до зростання. </w:t>
      </w:r>
    </w:p>
    <w:p>
      <w:pPr>
        <w:pStyle w:val="Normal"/>
        <w:spacing w:before="0" w:after="0"/>
        <w:ind w:firstLine="567"/>
        <w:jc w:val="both"/>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10">
            <wp:simplePos x="0" y="0"/>
            <wp:positionH relativeFrom="column">
              <wp:align>center</wp:align>
            </wp:positionH>
            <wp:positionV relativeFrom="paragraph">
              <wp:posOffset>635</wp:posOffset>
            </wp:positionV>
            <wp:extent cx="3449320" cy="1784985"/>
            <wp:effectExtent l="0" t="0" r="0" b="0"/>
            <wp:wrapSquare wrapText="largest"/>
            <wp:docPr id="53" name="Об'єкт32"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p>
    <w:p>
      <w:pPr>
        <w:pStyle w:val="Normal"/>
        <w:spacing w:before="0" w:after="0"/>
        <w:ind w:firstLine="567"/>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67"/>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67"/>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67"/>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67"/>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67"/>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567"/>
        <w:jc w:val="center"/>
        <w:rPr/>
      </w:pPr>
      <w:r>
        <w:rPr>
          <w:rFonts w:cs="Times New Roman" w:ascii="Times New Roman" w:hAnsi="Times New Roman"/>
          <w:sz w:val="24"/>
          <w:szCs w:val="24"/>
        </w:rPr>
        <w:t> </w:t>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Рисунок Д2.25. Споживання енергоресурсів промисловістю та комерційними структурами, МВт  год</w:t>
      </w:r>
    </w:p>
    <w:p>
      <w:pPr>
        <w:pStyle w:val="Normal"/>
        <w:spacing w:before="0" w:after="0"/>
        <w:ind w:firstLine="567"/>
        <w:jc w:val="both"/>
        <w:rPr/>
      </w:pPr>
      <w:r>
        <w:rPr>
          <w:rFonts w:cs="Times New Roman" w:ascii="Times New Roman" w:hAnsi="Times New Roman"/>
          <w:sz w:val="24"/>
          <w:szCs w:val="24"/>
        </w:rPr>
        <w:t xml:space="preserve">На рисунку </w:t>
      </w:r>
      <w:r>
        <w:rPr>
          <w:rFonts w:eastAsia="NSimSun" w:cs="Times New Roman" w:ascii="Times New Roman" w:hAnsi="Times New Roman"/>
          <w:color w:val="000000"/>
          <w:kern w:val="2"/>
          <w:sz w:val="24"/>
          <w:szCs w:val="24"/>
          <w:lang w:eastAsia="zh-CN" w:bidi="hi-IN"/>
        </w:rPr>
        <w:t>Д2.26. </w:t>
      </w:r>
      <w:r>
        <w:rPr>
          <w:rFonts w:cs="Times New Roman" w:ascii="Times New Roman" w:hAnsi="Times New Roman"/>
          <w:sz w:val="24"/>
          <w:szCs w:val="24"/>
        </w:rPr>
        <w:t>представлена структура споживання енергоносіїв промисловістю та іншими комерційними структурами у 2017 та 2024 роках відповідно.  </w:t>
      </w:r>
    </w:p>
    <w:p>
      <w:pPr>
        <w:pStyle w:val="Normal"/>
        <w:spacing w:before="0" w:after="0"/>
        <w:jc w:val="center"/>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9">
            <wp:simplePos x="0" y="0"/>
            <wp:positionH relativeFrom="column">
              <wp:posOffset>1232535</wp:posOffset>
            </wp:positionH>
            <wp:positionV relativeFrom="paragraph">
              <wp:posOffset>44450</wp:posOffset>
            </wp:positionV>
            <wp:extent cx="3429635" cy="1918970"/>
            <wp:effectExtent l="0" t="0" r="0" b="0"/>
            <wp:wrapSquare wrapText="largest"/>
            <wp:docPr id="54" name="Об'єкт33"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anchor>
        </w:drawing>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8">
            <wp:simplePos x="0" y="0"/>
            <wp:positionH relativeFrom="column">
              <wp:posOffset>1207135</wp:posOffset>
            </wp:positionH>
            <wp:positionV relativeFrom="paragraph">
              <wp:posOffset>-22225</wp:posOffset>
            </wp:positionV>
            <wp:extent cx="3357245" cy="1887220"/>
            <wp:effectExtent l="0" t="0" r="0" b="0"/>
            <wp:wrapSquare wrapText="largest"/>
            <wp:docPr id="55" name="Об'єкт36" descr="діаграма"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anchor>
        </w:drawing>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rFonts w:ascii="Times New Roman" w:hAnsi="Times New Roman" w:cs="Times New Roman"/>
        </w:rPr>
      </w:pPr>
      <w:r>
        <w:rPr>
          <w:rFonts w:cs="Times New Roman" w:ascii="Times New Roman" w:hAnsi="Times New Roman"/>
        </w:rPr>
      </w:r>
    </w:p>
    <w:p>
      <w:pPr>
        <w:pStyle w:val="Normal"/>
        <w:spacing w:before="0" w:after="0"/>
        <w:ind w:firstLine="567"/>
        <w:jc w:val="center"/>
        <w:rPr/>
      </w:pPr>
      <w:r>
        <w:rPr/>
      </w:r>
    </w:p>
    <w:p>
      <w:pPr>
        <w:pStyle w:val="Normal"/>
        <w:spacing w:before="0" w:after="0"/>
        <w:ind w:firstLine="567"/>
        <w:jc w:val="center"/>
        <w:rPr/>
      </w:pPr>
      <w:r>
        <w:rPr/>
      </w:r>
    </w:p>
    <w:p>
      <w:pPr>
        <w:pStyle w:val="Normal"/>
        <w:spacing w:before="0" w:after="0"/>
        <w:ind w:firstLine="567"/>
        <w:jc w:val="center"/>
        <w:rPr/>
      </w:pPr>
      <w:r>
        <w:rPr/>
      </w:r>
    </w:p>
    <w:p>
      <w:pPr>
        <w:pStyle w:val="Normal"/>
        <w:spacing w:before="0" w:after="0"/>
        <w:ind w:firstLine="567"/>
        <w:jc w:val="center"/>
        <w:rPr/>
      </w:pPr>
      <w:r>
        <w:rPr/>
      </w:r>
    </w:p>
    <w:p>
      <w:pPr>
        <w:pStyle w:val="Normal"/>
        <w:spacing w:before="0" w:after="0"/>
        <w:ind w:firstLine="567"/>
        <w:jc w:val="center"/>
        <w:rPr/>
      </w:pPr>
      <w:r>
        <w:rPr/>
      </w:r>
    </w:p>
    <w:p>
      <w:pPr>
        <w:pStyle w:val="Normal"/>
        <w:spacing w:before="0" w:after="0"/>
        <w:jc w:val="center"/>
        <w:rPr/>
      </w:pPr>
      <w:r>
        <w:rPr>
          <w:rFonts w:eastAsia="NSimSun" w:cs="Times New Roman" w:ascii="Times New Roman" w:hAnsi="Times New Roman"/>
          <w:color w:val="000000"/>
          <w:kern w:val="2"/>
          <w:sz w:val="24"/>
          <w:szCs w:val="24"/>
          <w:shd w:fill="FFFFFF" w:val="clear"/>
          <w:lang w:eastAsia="zh-CN" w:bidi="hi-IN"/>
        </w:rPr>
        <w:t xml:space="preserve">Рисунок Д2.26. Структура споживання енергоносіїв промисловістю та іншими комерційними структурами </w:t>
      </w:r>
    </w:p>
    <w:p>
      <w:pPr>
        <w:pStyle w:val="Normal"/>
        <w:spacing w:lineRule="auto" w:line="240" w:before="0" w:after="0"/>
        <w:ind w:firstLine="510"/>
        <w:jc w:val="both"/>
        <w:rPr/>
      </w:pPr>
      <w:r>
        <w:rPr>
          <w:rFonts w:eastAsia="NSimSun" w:cs="Times New Roman" w:ascii="Times New Roman" w:hAnsi="Times New Roman"/>
          <w:b/>
          <w:bCs/>
          <w:color w:val="000000"/>
          <w:kern w:val="2"/>
          <w:sz w:val="24"/>
          <w:szCs w:val="24"/>
          <w:shd w:fill="FFFFFF" w:val="clear"/>
          <w:lang w:eastAsia="zh-CN" w:bidi="hi-IN"/>
        </w:rPr>
        <w:t>Д2.3.10. Громадський транспорт та відповідна інфраструктура</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Послуги міського громадського транспорту Луцької МТГ станом на 01.01.2025 надаються комунальним підприємством «Луцьке підприємство електротранспорту» та 9 приватними перевізниками. </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Виконавчий комітет Луцької міської ради, як організатор перевезень, вживає заходів щодо зміни рухомого складу тролейбусів та автобусів, що обслуговують маршрути на сучасні, екологічні, великогабаритні, низькопідлогові, обладнані системами кондиціювання повітря, доступні для пасажирів з обмеженими можливостями транспортні засоби. Із загальної кількості автобусів на міських маршрутах (124 од.), на кінець 2024 року, здійснюють перевезення пасажирів 107 низькопідлогових автобусів з екологічним стандартом «Євро-5». </w:t>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Таблиця Д2.38. Характеристика перевізників</w:t>
      </w:r>
    </w:p>
    <w:tbl>
      <w:tblPr>
        <w:tblW w:w="9664" w:type="dxa"/>
        <w:jc w:val="start"/>
        <w:tblInd w:w="291" w:type="dxa"/>
        <w:tblLayout w:type="fixed"/>
        <w:tblCellMar>
          <w:top w:w="0" w:type="dxa"/>
          <w:start w:w="108" w:type="dxa"/>
          <w:bottom w:w="0" w:type="dxa"/>
          <w:end w:w="108" w:type="dxa"/>
        </w:tblCellMar>
        <w:tblLook w:firstRow="1" w:noVBand="1" w:lastRow="0" w:firstColumn="1" w:lastColumn="0" w:noHBand="0" w:val="04a0"/>
      </w:tblPr>
      <w:tblGrid>
        <w:gridCol w:w="5436"/>
        <w:gridCol w:w="732"/>
        <w:gridCol w:w="734"/>
        <w:gridCol w:w="730"/>
        <w:gridCol w:w="680"/>
        <w:gridCol w:w="674"/>
        <w:gridCol w:w="677"/>
      </w:tblGrid>
      <w:tr>
        <w:trPr/>
        <w:tc>
          <w:tcPr>
            <w:tcW w:w="543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Параметр</w:t>
            </w:r>
          </w:p>
        </w:tc>
        <w:tc>
          <w:tcPr>
            <w:tcW w:w="2196" w:type="dxa"/>
            <w:gridSpan w:val="3"/>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м. Луцьк</w:t>
            </w:r>
          </w:p>
        </w:tc>
        <w:tc>
          <w:tcPr>
            <w:tcW w:w="2031" w:type="dxa"/>
            <w:gridSpan w:val="3"/>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СО</w:t>
            </w:r>
          </w:p>
        </w:tc>
      </w:tr>
      <w:tr>
        <w:trPr/>
        <w:tc>
          <w:tcPr>
            <w:tcW w:w="5436"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200"/>
              <w:rPr/>
            </w:pPr>
            <w:r>
              <w:rPr/>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2015</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2022</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2024</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2015</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cs="Times New Roman" w:ascii="Times New Roman" w:hAnsi="Times New Roman"/>
                <w:color w:val="000000"/>
                <w:shd w:fill="FFFFFF" w:val="clear"/>
              </w:rPr>
              <w:t>2022</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2024</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cs="Times New Roman" w:ascii="Times New Roman" w:hAnsi="Times New Roman"/>
                <w:color w:val="000000"/>
                <w:shd w:fill="FFFFFF" w:val="clear"/>
              </w:rPr>
              <w:t>Кількість перевізників (од)</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10</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13</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9</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1</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1</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eastAsia="Microsoft Sans Serif" w:cs="Times New Roman" w:ascii="Times New Roman" w:hAnsi="Times New Roman"/>
                <w:color w:val="000000"/>
                <w:kern w:val="2"/>
                <w:shd w:fill="FFFFFF" w:val="clear"/>
              </w:rPr>
              <w:t>в т.ч. тролейбуси (од)</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1</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1</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1</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cs="Times New Roman" w:ascii="Times New Roman" w:hAnsi="Times New Roman"/>
                <w:color w:val="000000"/>
                <w:shd w:fill="FFFFFF" w:val="clear"/>
              </w:rPr>
              <w:t>Кількість маршрутів (од)</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39</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30</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41</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7</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7</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eastAsia="Microsoft Sans Serif" w:cs="Times New Roman" w:ascii="Times New Roman" w:hAnsi="Times New Roman"/>
                <w:color w:val="000000"/>
                <w:kern w:val="2"/>
                <w:shd w:fill="FFFFFF" w:val="clear"/>
              </w:rPr>
              <w:t>в т.ч. тролейбуси (од)</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11</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9</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9</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cs="Times New Roman" w:ascii="Times New Roman" w:hAnsi="Times New Roman"/>
                <w:color w:val="000000"/>
                <w:shd w:fill="FFFFFF" w:val="clear"/>
              </w:rPr>
              <w:t>Загальна кількість транспортних засобів, що використовується перевізниками (шт.)</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298</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212</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191</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10</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10</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eastAsia="Microsoft Sans Serif" w:cs="Times New Roman" w:ascii="Times New Roman" w:hAnsi="Times New Roman"/>
                <w:color w:val="000000"/>
                <w:kern w:val="2"/>
                <w:shd w:fill="FFFFFF" w:val="clear"/>
              </w:rPr>
              <w:t>в т.ч. тролейбусів (шт.)</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65</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73</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67</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eastAsia="Microsoft Sans Serif" w:cs="Times New Roman" w:ascii="Times New Roman" w:hAnsi="Times New Roman"/>
                <w:color w:val="000000"/>
                <w:kern w:val="2"/>
                <w:shd w:fill="FFFFFF" w:val="clear"/>
              </w:rPr>
              <w:t xml:space="preserve">Загальна протяжність </w:t>
            </w:r>
            <w:r>
              <w:rPr>
                <w:rFonts w:cs="Times New Roman" w:ascii="Times New Roman" w:hAnsi="Times New Roman"/>
              </w:rPr>
              <w:t>контактної мережі для тролейбусів (км)</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109,2</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109,2</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109,2</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eastAsia="Microsoft Sans Serif" w:cs="Times New Roman" w:ascii="Times New Roman" w:hAnsi="Times New Roman"/>
                <w:color w:val="000000"/>
                <w:kern w:val="2"/>
                <w:shd w:fill="FFFFFF" w:val="clear"/>
              </w:rPr>
              <w:t>Кількість тягових підстанцій для тролейбусів (од)</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9</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9</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9</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r>
      <w:tr>
        <w:trPr/>
        <w:tc>
          <w:tcPr>
            <w:tcW w:w="543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both"/>
              <w:rPr/>
            </w:pPr>
            <w:r>
              <w:rPr>
                <w:rFonts w:cs="Times New Roman" w:ascii="Times New Roman" w:hAnsi="Times New Roman"/>
              </w:rPr>
              <w:t>Експлуатаційна протяжність тролейбусних ліній (км)</w:t>
            </w:r>
          </w:p>
        </w:tc>
        <w:tc>
          <w:tcPr>
            <w:tcW w:w="7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276</w:t>
            </w:r>
          </w:p>
        </w:tc>
        <w:tc>
          <w:tcPr>
            <w:tcW w:w="73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276</w:t>
            </w:r>
          </w:p>
        </w:tc>
        <w:tc>
          <w:tcPr>
            <w:tcW w:w="73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cs="Times New Roman" w:ascii="Times New Roman" w:hAnsi="Times New Roman"/>
              </w:rPr>
              <w:t>276</w:t>
            </w:r>
          </w:p>
        </w:tc>
        <w:tc>
          <w:tcPr>
            <w:tcW w:w="6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kern w:val="2"/>
              </w:rPr>
              <w:t>-</w:t>
            </w:r>
          </w:p>
        </w:tc>
        <w:tc>
          <w:tcPr>
            <w:tcW w:w="674" w:type="dxa"/>
            <w:tcBorders>
              <w:top w:val="single" w:sz="4" w:space="0" w:color="000000"/>
              <w:start w:val="single" w:sz="4" w:space="0" w:color="000000"/>
              <w:bottom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contextualSpacing/>
              <w:jc w:val="center"/>
              <w:rPr/>
            </w:pPr>
            <w:r>
              <w:rPr>
                <w:rFonts w:eastAsia="Microsoft Sans Serif" w:cs="Times New Roman" w:ascii="Times New Roman" w:hAnsi="Times New Roman"/>
                <w:color w:val="000000"/>
                <w:kern w:val="2"/>
                <w:shd w:fill="FFFFFF" w:val="clear"/>
              </w:rPr>
              <w:t>-</w:t>
            </w:r>
          </w:p>
        </w:tc>
      </w:tr>
    </w:tbl>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На рисунку </w:t>
      </w:r>
      <w:r>
        <w:rPr>
          <w:rFonts w:eastAsia="NSimSun" w:cs="Times New Roman" w:ascii="Times New Roman" w:hAnsi="Times New Roman"/>
          <w:color w:val="000000"/>
          <w:kern w:val="2"/>
          <w:sz w:val="24"/>
          <w:szCs w:val="24"/>
          <w:shd w:fill="FFFFFF" w:val="clear"/>
          <w:lang w:eastAsia="zh-CN" w:bidi="hi-IN"/>
        </w:rPr>
        <w:t>Д2.27.</w:t>
      </w:r>
      <w:r>
        <w:rPr>
          <w:rFonts w:eastAsia="NSimSun" w:cs="Times New Roman" w:ascii="Times New Roman" w:hAnsi="Times New Roman"/>
          <w:kern w:val="2"/>
          <w:sz w:val="24"/>
          <w:szCs w:val="24"/>
          <w:lang w:eastAsia="zh-CN" w:bidi="hi-IN"/>
        </w:rPr>
        <w:t> зображена схема руху громадського транспорту в Луцькій МТГ та навколишніх населених пунктах.</w:t>
      </w:r>
    </w:p>
    <w:p>
      <w:pPr>
        <w:pStyle w:val="Normal"/>
        <w:spacing w:before="0" w:after="0"/>
        <w:ind w:firstLine="510"/>
        <w:jc w:val="center"/>
        <w:rPr/>
      </w:pPr>
      <w: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6120130" cy="3839210"/>
            <wp:effectExtent l="0" t="0" r="0" b="0"/>
            <wp:wrapSquare wrapText="largest"/>
            <wp:docPr id="56" name="Зображення1 копія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Зображення1 копія 1" descr="" title=""/>
                    <pic:cNvPicPr>
                      <a:picLocks noChangeAspect="1" noChangeArrowheads="1"/>
                    </pic:cNvPicPr>
                  </pic:nvPicPr>
                  <pic:blipFill>
                    <a:blip r:embed="rId92"/>
                    <a:stretch>
                      <a:fillRect/>
                    </a:stretch>
                  </pic:blipFill>
                  <pic:spPr bwMode="auto">
                    <a:xfrm>
                      <a:off x="0" y="0"/>
                      <a:ext cx="6120130" cy="3839210"/>
                    </a:xfrm>
                    <a:prstGeom prst="rect">
                      <a:avLst/>
                    </a:prstGeom>
                  </pic:spPr>
                </pic:pic>
              </a:graphicData>
            </a:graphic>
          </wp:anchor>
        </w:drawing>
      </w:r>
      <w:r>
        <w:rPr>
          <w:rFonts w:eastAsia="NSimSun" w:cs="Times New Roman" w:ascii="Times New Roman" w:hAnsi="Times New Roman"/>
          <w:color w:val="000000"/>
          <w:kern w:val="2"/>
          <w:sz w:val="24"/>
          <w:szCs w:val="24"/>
          <w:shd w:fill="FFFFFF" w:val="clear"/>
          <w:lang w:eastAsia="zh-CN" w:bidi="hi-IN"/>
        </w:rPr>
        <w:t>Рисунок Д2.27. Схема руху громадського транспорту</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 xml:space="preserve">Протяжність міських автобусних маршрутів становить понад 560 км, середня довжина маршруту тролейбусів понад 19 км, протяжність тролейбусних маршрутів понад 113 км, середня довжина маршруту тролейбусів понад 12 км. Загальна кількість зупинок 690 одиниць, з них 427 зупинки у м. Луцьку (зокрема 188 є безбар’єрними або частково безбар’єрними)  та 263 зупинки в населених пунктах громади. </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 xml:space="preserve">В рамках Програми NAKOPA-2018 за фінансування Міністерства економічної співпраці та розвитку Німеччини у місті був реалізований проєкт «Використання екологічних і розумних технологій у системі громадського транспорту міста Луцька». У 2024 році встановлено 6 нових інформаційних табло, кожне з яких висвітлює інформацію про час прибуття громадського транспорту. Станом на сьогодні функціонує 37 таких табло.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З метою покращення якості перевезення пасажирів у Луцькій МТГ з 2019 року запроваджено автоматизовану систему обліку оплати проїзду (АСООП).</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Окрім обліку оплати проїзду АСООП включає також систему GPS-моніторингу, систему автоматичного сповіщення пасажирів (оголошення в салонах автобусів/тролейбусів), систему відеоспостереження. Оператором створено графічний інтерфейс для обліку валідацій (uagui), графічний інтерфейс GPS-моніторингу (uavts), графічний інтерфейс відеоспостереження (CMS), вебпортал для пасажирів (www.citycard.ua), мобільний додаток Android/IOS CityCard.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Пасажиру надано можливість здійснювати оплату за проїзд: транспортними картками (неперсоніфіковані, учнівські, студентські, пільгові), QR-квитками у мобільному додатку, разовими QR-квитками, банківськими картками з фізичних носіїв та з пристроїв з технологією NFC через GooglePay/ApplePay. Поповнити баланс електронної картки для проїзду можна у терміналах самообслуговування, що розташовані у кожному районі міста, на вебпорталі www.citycard.ua та у мобільному додатку CityCard.</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АСООП через доступ до вебпорталу та мобільного додатку надає можливість відстежувати рух коштів, вивчати графік та рух транспорту за маршрутом у режимі онлайн.</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Перевізники та Організатор перевезень отримали звітність щодо пасажиропотоків у кількісному та фінансовому вигляді, а також можливість фільтрувати інформацію для побудови зручних транспортних звітів.</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Відсутність необлікованих коштів сприяє покращенню фінансового стану перевізника, надає можливість встановити економічно обґрунтований тариф, та розширює інвестиційні можливості надавачів послуг.</w:t>
      </w:r>
    </w:p>
    <w:p>
      <w:pPr>
        <w:pStyle w:val="Normal"/>
        <w:spacing w:before="0" w:after="0"/>
        <w:ind w:firstLine="567"/>
        <w:jc w:val="center"/>
        <w:rPr/>
      </w:pPr>
      <w:r>
        <w:rPr>
          <w:rFonts w:eastAsia="NSimSun" w:cs="Times New Roman" w:ascii="Times New Roman" w:hAnsi="Times New Roman"/>
          <w:color w:val="000000"/>
          <w:kern w:val="2"/>
          <w:sz w:val="24"/>
          <w:szCs w:val="24"/>
          <w:shd w:fill="FFFFFF" w:val="clear"/>
          <w:lang w:eastAsia="zh-CN" w:bidi="hi-IN"/>
        </w:rPr>
        <w:t>Таблиця Д2.39. Кількість перевезених пасажирів комунальним транспортом за 2024 рік</w:t>
      </w:r>
    </w:p>
    <w:tbl>
      <w:tblPr>
        <w:tblW w:w="5000" w:type="pct"/>
        <w:jc w:val="start"/>
        <w:tblInd w:w="28" w:type="dxa"/>
        <w:tblLayout w:type="fixed"/>
        <w:tblCellMar>
          <w:top w:w="28" w:type="dxa"/>
          <w:start w:w="28" w:type="dxa"/>
          <w:bottom w:w="28" w:type="dxa"/>
          <w:end w:w="28" w:type="dxa"/>
        </w:tblCellMar>
        <w:tblLook w:firstRow="1" w:noVBand="1" w:lastRow="0" w:firstColumn="1" w:lastColumn="0" w:noHBand="0" w:val="04a0"/>
      </w:tblPr>
      <w:tblGrid>
        <w:gridCol w:w="5191"/>
        <w:gridCol w:w="4446"/>
      </w:tblGrid>
      <w:tr>
        <w:trPr/>
        <w:tc>
          <w:tcPr>
            <w:tcW w:w="5191" w:type="dxa"/>
            <w:tcBorders>
              <w:top w:val="single" w:sz="2" w:space="0" w:color="000000"/>
              <w:start w:val="single" w:sz="2" w:space="0" w:color="000000"/>
              <w:bottom w:val="single" w:sz="2" w:space="0" w:color="000000"/>
            </w:tcBorders>
          </w:tcPr>
          <w:p>
            <w:pPr>
              <w:pStyle w:val="Normal"/>
              <w:widowControl w:val="false"/>
              <w:suppressLineNumbers/>
              <w:spacing w:lineRule="auto" w:line="240" w:before="0" w:after="0"/>
              <w:jc w:val="center"/>
              <w:rPr/>
            </w:pPr>
            <w:r>
              <w:rPr>
                <w:rFonts w:eastAsia="NSimSun" w:cs="Times New Roman" w:ascii="Times New Roman" w:hAnsi="Times New Roman"/>
                <w:color w:val="000000"/>
                <w:kern w:val="2"/>
                <w:shd w:fill="FFFFFF" w:val="clear"/>
                <w:lang w:eastAsia="zh-CN" w:bidi="hi-IN"/>
              </w:rPr>
              <w:t>Тип транспорту</w:t>
            </w:r>
          </w:p>
        </w:tc>
        <w:tc>
          <w:tcPr>
            <w:tcW w:w="4446" w:type="dxa"/>
            <w:tcBorders>
              <w:top w:val="single" w:sz="2" w:space="0" w:color="000000"/>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eastAsia="NSimSun" w:cs="Times New Roman" w:ascii="Times New Roman" w:hAnsi="Times New Roman"/>
                <w:color w:val="000000"/>
                <w:kern w:val="2"/>
                <w:shd w:fill="FFFFFF" w:val="clear"/>
                <w:lang w:eastAsia="zh-CN" w:bidi="hi-IN"/>
              </w:rPr>
              <w:t>Кількість пасажирів</w:t>
            </w:r>
          </w:p>
        </w:tc>
      </w:tr>
      <w:tr>
        <w:trPr/>
        <w:tc>
          <w:tcPr>
            <w:tcW w:w="5191" w:type="dxa"/>
            <w:tcBorders>
              <w:start w:val="single" w:sz="2" w:space="0" w:color="000000"/>
              <w:bottom w:val="single" w:sz="2" w:space="0" w:color="000000"/>
            </w:tcBorders>
          </w:tcPr>
          <w:p>
            <w:pPr>
              <w:pStyle w:val="Normal"/>
              <w:widowControl w:val="false"/>
              <w:suppressLineNumbers/>
              <w:spacing w:lineRule="auto" w:line="240" w:before="0" w:after="0"/>
              <w:rPr/>
            </w:pPr>
            <w:r>
              <w:rPr>
                <w:rFonts w:eastAsia="NSimSun" w:cs="Times New Roman" w:ascii="Times New Roman" w:hAnsi="Times New Roman"/>
                <w:color w:val="000000"/>
                <w:kern w:val="2"/>
                <w:shd w:fill="FFFFFF" w:val="clear"/>
                <w:lang w:eastAsia="zh-CN" w:bidi="hi-IN"/>
              </w:rPr>
              <w:t>Автобуси</w:t>
            </w:r>
          </w:p>
        </w:tc>
        <w:tc>
          <w:tcPr>
            <w:tcW w:w="4446"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cs="Times New Roman" w:ascii="Times New Roman" w:hAnsi="Times New Roman"/>
                <w:color w:val="000000"/>
              </w:rPr>
              <w:t>24 415 696</w:t>
            </w:r>
          </w:p>
        </w:tc>
      </w:tr>
      <w:tr>
        <w:trPr/>
        <w:tc>
          <w:tcPr>
            <w:tcW w:w="5191" w:type="dxa"/>
            <w:tcBorders>
              <w:start w:val="single" w:sz="2" w:space="0" w:color="000000"/>
              <w:bottom w:val="single" w:sz="2" w:space="0" w:color="000000"/>
            </w:tcBorders>
          </w:tcPr>
          <w:p>
            <w:pPr>
              <w:pStyle w:val="Normal"/>
              <w:widowControl w:val="false"/>
              <w:suppressLineNumbers/>
              <w:spacing w:lineRule="auto" w:line="240" w:before="0" w:after="0"/>
              <w:rPr/>
            </w:pPr>
            <w:r>
              <w:rPr>
                <w:rFonts w:eastAsia="NSimSun" w:cs="Times New Roman" w:ascii="Times New Roman" w:hAnsi="Times New Roman"/>
                <w:color w:val="000000"/>
                <w:kern w:val="2"/>
                <w:shd w:fill="FFFFFF" w:val="clear"/>
                <w:lang w:eastAsia="zh-CN" w:bidi="hi-IN"/>
              </w:rPr>
              <w:t>Тролейбуси</w:t>
            </w:r>
          </w:p>
        </w:tc>
        <w:tc>
          <w:tcPr>
            <w:tcW w:w="4446"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cs="Times New Roman" w:ascii="Times New Roman" w:hAnsi="Times New Roman"/>
                <w:color w:val="000000"/>
              </w:rPr>
              <w:t>15 888 642</w:t>
            </w:r>
          </w:p>
        </w:tc>
      </w:tr>
      <w:tr>
        <w:trPr/>
        <w:tc>
          <w:tcPr>
            <w:tcW w:w="5191" w:type="dxa"/>
            <w:tcBorders>
              <w:start w:val="single" w:sz="2" w:space="0" w:color="000000"/>
              <w:bottom w:val="single" w:sz="2" w:space="0" w:color="000000"/>
            </w:tcBorders>
          </w:tcPr>
          <w:p>
            <w:pPr>
              <w:pStyle w:val="Normal"/>
              <w:widowControl w:val="false"/>
              <w:suppressLineNumbers/>
              <w:spacing w:lineRule="auto" w:line="240" w:before="0" w:after="0"/>
              <w:rPr/>
            </w:pPr>
            <w:r>
              <w:rPr>
                <w:rFonts w:eastAsia="NSimSun" w:cs="Times New Roman" w:ascii="Times New Roman" w:hAnsi="Times New Roman"/>
                <w:color w:val="000000"/>
                <w:kern w:val="2"/>
                <w:shd w:fill="FFFFFF" w:val="clear"/>
                <w:lang w:eastAsia="zh-CN" w:bidi="hi-IN"/>
              </w:rPr>
              <w:t>Всього</w:t>
            </w:r>
          </w:p>
        </w:tc>
        <w:tc>
          <w:tcPr>
            <w:tcW w:w="4446" w:type="dxa"/>
            <w:tcBorders>
              <w:start w:val="single" w:sz="2" w:space="0" w:color="000000"/>
              <w:bottom w:val="single" w:sz="2" w:space="0" w:color="000000"/>
              <w:end w:val="single" w:sz="2" w:space="0" w:color="000000"/>
            </w:tcBorders>
          </w:tcPr>
          <w:p>
            <w:pPr>
              <w:pStyle w:val="Normal"/>
              <w:widowControl w:val="false"/>
              <w:suppressLineNumbers/>
              <w:spacing w:lineRule="auto" w:line="240" w:before="0" w:after="0"/>
              <w:jc w:val="center"/>
              <w:rPr/>
            </w:pPr>
            <w:r>
              <w:rPr>
                <w:rFonts w:cs="Times New Roman" w:ascii="Times New Roman" w:hAnsi="Times New Roman"/>
                <w:color w:val="000000"/>
              </w:rPr>
              <w:t>40 304 338</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Для збору даних щодо споживання палива громадським транспортом проводився розрахунок споживання палива відповідно до пройденого кілометражу та характеристик автотранспорту.</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Розрахункові дані з споживання палива громадським транспортом у 2017-2024 роках представлено в таблиці </w:t>
      </w:r>
      <w:r>
        <w:rPr>
          <w:rFonts w:eastAsia="NSimSun" w:cs="Times New Roman" w:ascii="Times New Roman" w:hAnsi="Times New Roman"/>
          <w:color w:val="000000"/>
          <w:kern w:val="2"/>
          <w:sz w:val="24"/>
          <w:szCs w:val="24"/>
          <w:shd w:fill="FFFFFF" w:val="clear"/>
          <w:lang w:eastAsia="zh-CN" w:bidi="hi-IN"/>
        </w:rPr>
        <w:t>Д2.40</w:t>
      </w:r>
      <w:r>
        <w:rPr>
          <w:rFonts w:eastAsia="NSimSun" w:cs="Times New Roman" w:ascii="Times New Roman" w:hAnsi="Times New Roman"/>
          <w:kern w:val="2"/>
          <w:sz w:val="24"/>
          <w:szCs w:val="24"/>
          <w:lang w:eastAsia="zh-CN" w:bidi="hi-IN"/>
        </w:rPr>
        <w:t>.</w:t>
      </w:r>
    </w:p>
    <w:p>
      <w:pPr>
        <w:pStyle w:val="Normal"/>
        <w:spacing w:before="0" w:after="0"/>
        <w:ind w:firstLine="51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shd w:fill="FFFFFF" w:val="clear"/>
          <w:lang w:eastAsia="zh-CN" w:bidi="hi-IN"/>
        </w:rPr>
        <w:t>Д2.40.</w:t>
      </w:r>
      <w:r>
        <w:rPr>
          <w:rFonts w:eastAsia="NSimSun" w:cs="Times New Roman" w:ascii="Times New Roman" w:hAnsi="Times New Roman"/>
          <w:kern w:val="2"/>
          <w:sz w:val="24"/>
          <w:szCs w:val="24"/>
          <w:lang w:eastAsia="zh-CN" w:bidi="hi-IN"/>
        </w:rPr>
        <w:t xml:space="preserve"> Споживання палива громадським транспортом  </w:t>
      </w:r>
    </w:p>
    <w:tbl>
      <w:tblPr>
        <w:tblW w:w="9719"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1449"/>
        <w:gridCol w:w="1034"/>
        <w:gridCol w:w="1034"/>
        <w:gridCol w:w="1034"/>
        <w:gridCol w:w="1031"/>
        <w:gridCol w:w="1034"/>
        <w:gridCol w:w="1034"/>
        <w:gridCol w:w="1034"/>
        <w:gridCol w:w="1034"/>
      </w:tblGrid>
      <w:tr>
        <w:trPr/>
        <w:tc>
          <w:tcPr>
            <w:tcW w:w="144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103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103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Електроенергія (тис.МВт)</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7,1</w:t>
            </w:r>
          </w:p>
        </w:tc>
        <w:tc>
          <w:tcPr>
            <w:tcW w:w="103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5,3</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6,2</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4,7</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4,9</w:t>
            </w:r>
          </w:p>
        </w:tc>
        <w:tc>
          <w:tcPr>
            <w:tcW w:w="103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4,9</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Бензин (тис.л)</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5,5</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w:t>
            </w:r>
          </w:p>
        </w:tc>
        <w:tc>
          <w:tcPr>
            <w:tcW w:w="103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w:t>
            </w:r>
          </w:p>
        </w:tc>
        <w:tc>
          <w:tcPr>
            <w:tcW w:w="103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Дизельне пальне (тис.л)</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2750,1</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2750,0</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2750,1</w:t>
            </w:r>
          </w:p>
        </w:tc>
        <w:tc>
          <w:tcPr>
            <w:tcW w:w="103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2747,3</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2747,0</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2744,6</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2748,7</w:t>
            </w:r>
          </w:p>
        </w:tc>
        <w:tc>
          <w:tcPr>
            <w:tcW w:w="103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3333,8</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CNG (Метан) (тис.л)</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9,0</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9,4</w:t>
            </w:r>
          </w:p>
        </w:tc>
        <w:tc>
          <w:tcPr>
            <w:tcW w:w="103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10,4</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9,3</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9,9</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9,6</w:t>
            </w:r>
          </w:p>
        </w:tc>
        <w:tc>
          <w:tcPr>
            <w:tcW w:w="103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202,2</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LPG (Пропан-Бутан) (тис.м</w:t>
            </w:r>
            <w:r>
              <w:rPr>
                <w:rFonts w:ascii="Times New Roman" w:hAnsi="Times New Roman"/>
                <w:sz w:val="20"/>
                <w:szCs w:val="20"/>
                <w:vertAlign w:val="superscript"/>
              </w:rPr>
              <w:t>3</w:t>
            </w:r>
            <w:r>
              <w:rPr>
                <w:rFonts w:ascii="Times New Roman" w:hAnsi="Times New Roman"/>
                <w:sz w:val="20"/>
                <w:szCs w:val="20"/>
              </w:rPr>
              <w:t>)</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w:t>
            </w:r>
          </w:p>
        </w:tc>
        <w:tc>
          <w:tcPr>
            <w:tcW w:w="1031"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19,3</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84,5</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38,2</w:t>
            </w:r>
          </w:p>
        </w:tc>
        <w:tc>
          <w:tcPr>
            <w:tcW w:w="103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74,2</w:t>
            </w:r>
          </w:p>
        </w:tc>
        <w:tc>
          <w:tcPr>
            <w:tcW w:w="103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6,2</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У таблиці </w:t>
      </w:r>
      <w:r>
        <w:rPr>
          <w:rFonts w:eastAsia="NSimSun" w:cs="Times New Roman" w:ascii="Times New Roman" w:hAnsi="Times New Roman"/>
          <w:color w:val="000000"/>
          <w:kern w:val="2"/>
          <w:sz w:val="24"/>
          <w:szCs w:val="24"/>
          <w:shd w:fill="FFFFFF" w:val="clear"/>
          <w:lang w:eastAsia="zh-CN" w:bidi="hi-IN"/>
        </w:rPr>
        <w:t>Д2.41.</w:t>
      </w:r>
      <w:r>
        <w:rPr>
          <w:rFonts w:eastAsia="NSimSun" w:cs="Times New Roman" w:ascii="Times New Roman" w:hAnsi="Times New Roman"/>
          <w:kern w:val="2"/>
          <w:sz w:val="24"/>
          <w:szCs w:val="24"/>
          <w:lang w:eastAsia="zh-CN" w:bidi="hi-IN"/>
        </w:rPr>
        <w:t xml:space="preserve"> та рисунку </w:t>
      </w:r>
      <w:r>
        <w:rPr>
          <w:rFonts w:eastAsia="NSimSun" w:cs="Times New Roman" w:ascii="Times New Roman" w:hAnsi="Times New Roman"/>
          <w:color w:val="000000"/>
          <w:kern w:val="2"/>
          <w:sz w:val="24"/>
          <w:szCs w:val="24"/>
          <w:shd w:fill="FFFFFF" w:val="clear"/>
          <w:lang w:eastAsia="zh-CN" w:bidi="hi-IN"/>
        </w:rPr>
        <w:t>Д2.28.</w:t>
      </w:r>
      <w:r>
        <w:rPr>
          <w:rFonts w:eastAsia="NSimSun" w:cs="Times New Roman" w:ascii="Times New Roman" w:hAnsi="Times New Roman"/>
          <w:kern w:val="2"/>
          <w:sz w:val="24"/>
          <w:szCs w:val="24"/>
          <w:lang w:eastAsia="zh-CN" w:bidi="hi-IN"/>
        </w:rPr>
        <w:t xml:space="preserve"> для порівняльного аналізу наведено кількість спожитого палива громадським транспортом по роках в загальних одиницях виміру МВт.год.</w:t>
      </w:r>
    </w:p>
    <w:p>
      <w:pPr>
        <w:pStyle w:val="Normal"/>
        <w:spacing w:before="0" w:after="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shd w:fill="FFFFFF" w:val="clear"/>
          <w:lang w:eastAsia="zh-CN" w:bidi="hi-IN"/>
        </w:rPr>
        <w:t>Д2.41.</w:t>
      </w:r>
      <w:r>
        <w:rPr>
          <w:rFonts w:eastAsia="NSimSun" w:cs="Times New Roman" w:ascii="Times New Roman" w:hAnsi="Times New Roman"/>
          <w:kern w:val="2"/>
          <w:sz w:val="24"/>
          <w:szCs w:val="24"/>
          <w:lang w:eastAsia="zh-CN" w:bidi="hi-IN"/>
        </w:rPr>
        <w:t> Споживання палива громадським транспортом, МВт.год</w:t>
      </w:r>
    </w:p>
    <w:tbl>
      <w:tblPr>
        <w:tblW w:w="9750"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1443"/>
        <w:gridCol w:w="1043"/>
        <w:gridCol w:w="1034"/>
        <w:gridCol w:w="1039"/>
        <w:gridCol w:w="1035"/>
        <w:gridCol w:w="1037"/>
        <w:gridCol w:w="1039"/>
        <w:gridCol w:w="999"/>
        <w:gridCol w:w="1080"/>
      </w:tblGrid>
      <w:tr>
        <w:trPr/>
        <w:tc>
          <w:tcPr>
            <w:tcW w:w="144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104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103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1035"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1037"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103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99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108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14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Електроенергія</w:t>
            </w:r>
          </w:p>
        </w:tc>
        <w:tc>
          <w:tcPr>
            <w:tcW w:w="10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7512,2</w:t>
            </w:r>
          </w:p>
        </w:tc>
        <w:tc>
          <w:tcPr>
            <w:tcW w:w="103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7499,5</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7107,8</w:t>
            </w:r>
          </w:p>
        </w:tc>
        <w:tc>
          <w:tcPr>
            <w:tcW w:w="103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5272,8</w:t>
            </w:r>
          </w:p>
        </w:tc>
        <w:tc>
          <w:tcPr>
            <w:tcW w:w="1037"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6189,9</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4680,1</w:t>
            </w:r>
          </w:p>
        </w:tc>
        <w:tc>
          <w:tcPr>
            <w:tcW w:w="99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4859,2</w:t>
            </w:r>
          </w:p>
        </w:tc>
        <w:tc>
          <w:tcPr>
            <w:tcW w:w="1080"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4856,0</w:t>
            </w:r>
          </w:p>
        </w:tc>
      </w:tr>
      <w:tr>
        <w:trPr/>
        <w:tc>
          <w:tcPr>
            <w:tcW w:w="14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Бензин</w:t>
            </w:r>
          </w:p>
        </w:tc>
        <w:tc>
          <w:tcPr>
            <w:tcW w:w="1043"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51,8</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25,9</w:t>
            </w:r>
          </w:p>
        </w:tc>
        <w:tc>
          <w:tcPr>
            <w:tcW w:w="1039"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28,2</w:t>
            </w:r>
          </w:p>
        </w:tc>
        <w:tc>
          <w:tcPr>
            <w:tcW w:w="1035"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22,2</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23,3</w:t>
            </w:r>
          </w:p>
        </w:tc>
        <w:tc>
          <w:tcPr>
            <w:tcW w:w="1039"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17,5</w:t>
            </w:r>
          </w:p>
        </w:tc>
        <w:tc>
          <w:tcPr>
            <w:tcW w:w="999"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12,4</w:t>
            </w:r>
          </w:p>
        </w:tc>
        <w:tc>
          <w:tcPr>
            <w:tcW w:w="1080"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9,6</w:t>
            </w:r>
          </w:p>
        </w:tc>
      </w:tr>
      <w:tr>
        <w:trPr/>
        <w:tc>
          <w:tcPr>
            <w:tcW w:w="14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Дизельне пальне</w:t>
            </w:r>
          </w:p>
        </w:tc>
        <w:tc>
          <w:tcPr>
            <w:tcW w:w="10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27496,5</w:t>
            </w:r>
          </w:p>
        </w:tc>
        <w:tc>
          <w:tcPr>
            <w:tcW w:w="103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27489,3</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27489,7</w:t>
            </w:r>
          </w:p>
        </w:tc>
        <w:tc>
          <w:tcPr>
            <w:tcW w:w="103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27461,8</w:t>
            </w:r>
          </w:p>
        </w:tc>
        <w:tc>
          <w:tcPr>
            <w:tcW w:w="1037"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27459,3</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27434,8</w:t>
            </w:r>
          </w:p>
        </w:tc>
        <w:tc>
          <w:tcPr>
            <w:tcW w:w="99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27475,6</w:t>
            </w:r>
          </w:p>
        </w:tc>
        <w:tc>
          <w:tcPr>
            <w:tcW w:w="1080"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33324,8</w:t>
            </w:r>
          </w:p>
        </w:tc>
      </w:tr>
      <w:tr>
        <w:trPr/>
        <w:tc>
          <w:tcPr>
            <w:tcW w:w="14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CNG (Метан)</w:t>
            </w:r>
          </w:p>
        </w:tc>
        <w:tc>
          <w:tcPr>
            <w:tcW w:w="10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28,9</w:t>
            </w:r>
          </w:p>
        </w:tc>
        <w:tc>
          <w:tcPr>
            <w:tcW w:w="103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26,5</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30,2</w:t>
            </w:r>
          </w:p>
        </w:tc>
        <w:tc>
          <w:tcPr>
            <w:tcW w:w="103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33,4</w:t>
            </w:r>
          </w:p>
        </w:tc>
        <w:tc>
          <w:tcPr>
            <w:tcW w:w="1037"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29,8</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32,1</w:t>
            </w:r>
          </w:p>
        </w:tc>
        <w:tc>
          <w:tcPr>
            <w:tcW w:w="99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30,8</w:t>
            </w:r>
          </w:p>
        </w:tc>
        <w:tc>
          <w:tcPr>
            <w:tcW w:w="1080"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649,0</w:t>
            </w:r>
          </w:p>
        </w:tc>
      </w:tr>
      <w:tr>
        <w:trPr/>
        <w:tc>
          <w:tcPr>
            <w:tcW w:w="14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LPG (Пропан-Бутан)</w:t>
            </w:r>
          </w:p>
        </w:tc>
        <w:tc>
          <w:tcPr>
            <w:tcW w:w="10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89,1</w:t>
            </w:r>
          </w:p>
        </w:tc>
        <w:tc>
          <w:tcPr>
            <w:tcW w:w="103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119,5</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124,5</w:t>
            </w:r>
          </w:p>
        </w:tc>
        <w:tc>
          <w:tcPr>
            <w:tcW w:w="103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134,5</w:t>
            </w:r>
          </w:p>
        </w:tc>
        <w:tc>
          <w:tcPr>
            <w:tcW w:w="1037"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588,0</w:t>
            </w:r>
          </w:p>
        </w:tc>
        <w:tc>
          <w:tcPr>
            <w:tcW w:w="103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265,8</w:t>
            </w:r>
          </w:p>
        </w:tc>
        <w:tc>
          <w:tcPr>
            <w:tcW w:w="99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516,2</w:t>
            </w:r>
          </w:p>
        </w:tc>
        <w:tc>
          <w:tcPr>
            <w:tcW w:w="1080"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42,8</w:t>
            </w:r>
          </w:p>
        </w:tc>
      </w:tr>
      <w:tr>
        <w:trPr/>
        <w:tc>
          <w:tcPr>
            <w:tcW w:w="144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Всього</w:t>
            </w:r>
          </w:p>
        </w:tc>
        <w:tc>
          <w:tcPr>
            <w:tcW w:w="1043"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35178,6</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35160,7</w:t>
            </w:r>
          </w:p>
        </w:tc>
        <w:tc>
          <w:tcPr>
            <w:tcW w:w="1039"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34780,4</w:t>
            </w:r>
          </w:p>
        </w:tc>
        <w:tc>
          <w:tcPr>
            <w:tcW w:w="1035"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32924,8</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34290,3</w:t>
            </w:r>
          </w:p>
        </w:tc>
        <w:tc>
          <w:tcPr>
            <w:tcW w:w="1039"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32430,3</w:t>
            </w:r>
          </w:p>
        </w:tc>
        <w:tc>
          <w:tcPr>
            <w:tcW w:w="999"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32894,3</w:t>
            </w:r>
          </w:p>
        </w:tc>
        <w:tc>
          <w:tcPr>
            <w:tcW w:w="1080"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38882,3</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За даними таблиці </w:t>
      </w:r>
      <w:r>
        <w:rPr>
          <w:rFonts w:eastAsia="NSimSun" w:cs="Times New Roman" w:ascii="Times New Roman" w:hAnsi="Times New Roman"/>
          <w:color w:val="000000"/>
          <w:kern w:val="2"/>
          <w:sz w:val="24"/>
          <w:szCs w:val="24"/>
          <w:shd w:fill="FFFFFF" w:val="clear"/>
          <w:lang w:eastAsia="zh-CN" w:bidi="hi-IN"/>
        </w:rPr>
        <w:t>Д2.41.</w:t>
      </w:r>
      <w:r>
        <w:rPr>
          <w:rFonts w:eastAsia="NSimSun" w:cs="Times New Roman" w:ascii="Times New Roman" w:hAnsi="Times New Roman"/>
          <w:kern w:val="2"/>
          <w:sz w:val="24"/>
          <w:szCs w:val="24"/>
          <w:lang w:eastAsia="zh-CN" w:bidi="hi-IN"/>
        </w:rPr>
        <w:t xml:space="preserve"> можна побачити, що загальне споживання пального громадським транспортом збільшилося у порівнянні із 2017 роком. Збільшення споживання у 2024 році порівняно з 2017 роком склало 11 %.</w:t>
      </w:r>
    </w:p>
    <w:p>
      <w:pPr>
        <w:pStyle w:val="Normal"/>
        <w:spacing w:before="0" w:after="0"/>
        <w:ind w:firstLine="567"/>
        <w:jc w:val="both"/>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4163695" cy="2342515"/>
            <wp:effectExtent l="0" t="0" r="0" b="0"/>
            <wp:wrapSquare wrapText="largest"/>
            <wp:docPr id="57" name="Об'єкт37"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anchor>
        </w:drawing>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rFonts w:ascii="Times New Roman" w:hAnsi="Times New Roman" w:cs="Times New Roman"/>
        </w:rPr>
      </w:pPr>
      <w:r>
        <w:rPr>
          <w:rFonts w:cs="Times New Roman" w:ascii="Times New Roman" w:hAnsi="Times New Roman"/>
        </w:rPr>
      </w:r>
    </w:p>
    <w:p>
      <w:pPr>
        <w:pStyle w:val="Normal"/>
        <w:spacing w:before="0" w:after="0"/>
        <w:jc w:val="center"/>
        <w:rPr/>
      </w:pPr>
      <w:r>
        <w:rPr>
          <w:rFonts w:eastAsia="NSimSun" w:cs="Times New Roman" w:ascii="Times New Roman" w:hAnsi="Times New Roman"/>
          <w:kern w:val="2"/>
          <w:sz w:val="24"/>
          <w:szCs w:val="24"/>
          <w:lang w:eastAsia="zh-CN" w:bidi="hi-IN"/>
        </w:rPr>
        <w:t xml:space="preserve">Рисунок </w:t>
      </w:r>
      <w:r>
        <w:rPr>
          <w:rFonts w:eastAsia="NSimSun" w:cs="Times New Roman" w:ascii="Times New Roman" w:hAnsi="Times New Roman"/>
          <w:color w:val="000000"/>
          <w:kern w:val="2"/>
          <w:sz w:val="24"/>
          <w:szCs w:val="24"/>
          <w:shd w:fill="FFFFFF" w:val="clear"/>
          <w:lang w:eastAsia="zh-CN" w:bidi="hi-IN"/>
        </w:rPr>
        <w:t>Д2.28</w:t>
      </w:r>
      <w:r>
        <w:rPr>
          <w:rFonts w:eastAsia="NSimSun" w:cs="Times New Roman" w:ascii="Times New Roman" w:hAnsi="Times New Roman"/>
          <w:kern w:val="2"/>
          <w:sz w:val="24"/>
          <w:szCs w:val="24"/>
          <w:lang w:eastAsia="zh-CN" w:bidi="hi-IN"/>
        </w:rPr>
        <w:t>. Споживання палива громадським транспортом, МВт.год</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У період з 2017 по 2024 роки поступово зменшувалося споживання електроенергії за рахунок збільшення використання нових енергоефективних тролейбусів.</w:t>
      </w:r>
    </w:p>
    <w:p>
      <w:pPr>
        <w:pStyle w:val="Normal"/>
        <w:spacing w:before="0" w:after="0"/>
        <w:ind w:firstLine="510"/>
        <w:jc w:val="both"/>
        <w:rPr/>
      </w:pPr>
      <w:r>
        <w:rPr>
          <w:rFonts w:eastAsia="Arial" w:cs="Times New Roman" w:ascii="Times New Roman" w:hAnsi="Times New Roman"/>
          <w:kern w:val="2"/>
          <w:sz w:val="24"/>
          <w:szCs w:val="24"/>
          <w:shd w:fill="FFFFFF" w:val="clear"/>
        </w:rPr>
        <w:t>Пробіг за 2024: електротранспорт 2377007,47 км, автотранспорт 13288764 км.</w:t>
      </w:r>
    </w:p>
    <w:p>
      <w:pPr>
        <w:pStyle w:val="Normal"/>
        <w:spacing w:before="0" w:after="0"/>
        <w:ind w:firstLine="510"/>
        <w:jc w:val="both"/>
        <w:rPr/>
      </w:pPr>
      <w:r>
        <w:rPr/>
      </w:r>
    </w:p>
    <w:p>
      <w:pPr>
        <w:pStyle w:val="Normal"/>
        <w:spacing w:before="0" w:after="0"/>
        <w:ind w:firstLine="567"/>
        <w:jc w:val="both"/>
        <w:rPr/>
      </w:pPr>
      <w:r>
        <w:rPr>
          <w:rFonts w:eastAsia="NSimSun" w:cs="Times New Roman" w:ascii="Times New Roman" w:hAnsi="Times New Roman"/>
          <w:b/>
          <w:bCs/>
          <w:color w:val="000000"/>
          <w:kern w:val="2"/>
          <w:sz w:val="24"/>
          <w:szCs w:val="24"/>
          <w:shd w:fill="FFFFFF" w:val="clear"/>
          <w:lang w:eastAsia="zh-CN" w:bidi="hi-IN"/>
        </w:rPr>
        <w:t>Д2.3.11. Муніципальний транспорт (крім транспорту для громадських перевезень)</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У Луцькій МТГ загальна кількість муніципальних транспортних засобів станом на 01.01.2025 складає</w:t>
      </w:r>
      <w:r>
        <w:rPr>
          <w:rFonts w:eastAsia="NSimSun" w:cs="Times New Roman" w:ascii="Times New Roman" w:hAnsi="Times New Roman"/>
          <w:color w:val="000000"/>
          <w:kern w:val="2"/>
          <w:sz w:val="24"/>
          <w:szCs w:val="24"/>
          <w:shd w:fill="FFFFFF" w:val="clear"/>
          <w:lang w:eastAsia="zh-CN" w:bidi="hi-IN"/>
        </w:rPr>
        <w:t xml:space="preserve"> 422 одиниці. Середній вік випуску автотранспортних засобів у м. Луцьку – 1999 рік. </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У трійцю найбільших споживачів бензину входять: управління охорони здоров’я, ЛСКАП «Луцьспецкомунтранс» та КП «Луцькводоканал». Найбільшими споживачами дизельного палива є: КП «Луцькспецкомунтранс», КП «Луцькводоканал» та департамент освіти. Бюджетні підприємства, установи та організації під час здійснення своєї господарської діяльності, крім основних видів пального (бензин, дизельне пальне) використовують скраплений та стиснений газ.</w:t>
      </w:r>
    </w:p>
    <w:p>
      <w:pPr>
        <w:pStyle w:val="Normal"/>
        <w:spacing w:before="0" w:after="0"/>
        <w:ind w:firstLine="510"/>
        <w:jc w:val="both"/>
        <w:rPr/>
      </w:pPr>
      <w:r>
        <w:rPr>
          <w:rFonts w:eastAsia="NSimSun" w:cs="Times New Roman" w:ascii="Times New Roman" w:hAnsi="Times New Roman"/>
          <w:kern w:val="2"/>
          <w:sz w:val="24"/>
          <w:szCs w:val="24"/>
          <w:lang w:eastAsia="zh-CN" w:bidi="hi-IN"/>
        </w:rPr>
        <w:t xml:space="preserve">У таблицях </w:t>
      </w:r>
      <w:r>
        <w:rPr>
          <w:rFonts w:eastAsia="NSimSun" w:cs="Times New Roman" w:ascii="Times New Roman" w:hAnsi="Times New Roman"/>
          <w:color w:val="000000"/>
          <w:kern w:val="2"/>
          <w:sz w:val="24"/>
          <w:szCs w:val="24"/>
          <w:shd w:fill="FFFFFF" w:val="clear"/>
          <w:lang w:eastAsia="zh-CN" w:bidi="hi-IN"/>
        </w:rPr>
        <w:t>Д2.4</w:t>
      </w:r>
      <w:r>
        <w:rPr>
          <w:rFonts w:eastAsia="NSimSun" w:cs="Times New Roman" w:ascii="Times New Roman" w:hAnsi="Times New Roman"/>
          <w:color w:val="000000"/>
          <w:kern w:val="2"/>
          <w:sz w:val="24"/>
          <w:szCs w:val="24"/>
          <w:shd w:fill="FFFFFF" w:val="clear"/>
          <w:lang w:val="en-US" w:eastAsia="zh-CN" w:bidi="hi-IN"/>
        </w:rPr>
        <w:t>2</w:t>
      </w:r>
      <w:r>
        <w:rPr>
          <w:rFonts w:eastAsia="NSimSun" w:cs="Times New Roman" w:ascii="Times New Roman" w:hAnsi="Times New Roman"/>
          <w:kern w:val="2"/>
          <w:sz w:val="24"/>
          <w:szCs w:val="24"/>
          <w:lang w:eastAsia="zh-CN" w:bidi="hi-IN"/>
        </w:rPr>
        <w:t xml:space="preserve">, </w:t>
      </w:r>
      <w:r>
        <w:rPr>
          <w:rFonts w:eastAsia="NSimSun" w:cs="Times New Roman" w:ascii="Times New Roman" w:hAnsi="Times New Roman"/>
          <w:color w:val="000000"/>
          <w:kern w:val="2"/>
          <w:sz w:val="24"/>
          <w:szCs w:val="24"/>
          <w:shd w:fill="FFFFFF" w:val="clear"/>
          <w:lang w:eastAsia="zh-CN" w:bidi="hi-IN"/>
        </w:rPr>
        <w:t>Д2.4</w:t>
      </w:r>
      <w:r>
        <w:rPr>
          <w:rFonts w:eastAsia="NSimSun" w:cs="Times New Roman" w:ascii="Times New Roman" w:hAnsi="Times New Roman"/>
          <w:color w:val="000000"/>
          <w:kern w:val="2"/>
          <w:sz w:val="24"/>
          <w:szCs w:val="24"/>
          <w:shd w:fill="FFFFFF" w:val="clear"/>
          <w:lang w:val="en-US" w:eastAsia="zh-CN" w:bidi="hi-IN"/>
        </w:rPr>
        <w:t>3</w:t>
      </w:r>
      <w:r>
        <w:rPr>
          <w:rFonts w:eastAsia="NSimSun" w:cs="Times New Roman" w:ascii="Times New Roman" w:hAnsi="Times New Roman"/>
          <w:color w:val="000000"/>
          <w:kern w:val="2"/>
          <w:sz w:val="24"/>
          <w:szCs w:val="24"/>
          <w:shd w:fill="FFFFFF" w:val="clear"/>
          <w:lang w:eastAsia="zh-CN" w:bidi="hi-IN"/>
        </w:rPr>
        <w:t>.</w:t>
      </w:r>
      <w:r>
        <w:rPr>
          <w:rFonts w:eastAsia="NSimSun" w:cs="Times New Roman" w:ascii="Times New Roman" w:hAnsi="Times New Roman"/>
          <w:kern w:val="2"/>
          <w:sz w:val="24"/>
          <w:szCs w:val="24"/>
          <w:lang w:eastAsia="zh-CN" w:bidi="hi-IN"/>
        </w:rPr>
        <w:t xml:space="preserve"> та на рисунку </w:t>
      </w:r>
      <w:r>
        <w:rPr>
          <w:rFonts w:eastAsia="NSimSun" w:cs="Times New Roman" w:ascii="Times New Roman" w:hAnsi="Times New Roman"/>
          <w:color w:val="000000"/>
          <w:kern w:val="2"/>
          <w:sz w:val="24"/>
          <w:szCs w:val="24"/>
          <w:shd w:fill="FFFFFF" w:val="clear"/>
          <w:lang w:eastAsia="zh-CN" w:bidi="hi-IN"/>
        </w:rPr>
        <w:t>Д2.29</w:t>
      </w:r>
      <w:r>
        <w:rPr>
          <w:rFonts w:eastAsia="NSimSun" w:cs="Times New Roman" w:ascii="Times New Roman" w:hAnsi="Times New Roman"/>
          <w:kern w:val="2"/>
          <w:sz w:val="24"/>
          <w:szCs w:val="24"/>
          <w:lang w:eastAsia="zh-CN" w:bidi="hi-IN"/>
        </w:rPr>
        <w:t xml:space="preserve"> наведено загальні обсяги споживання палива муніципальним транспортом м. Луцька.</w:t>
      </w:r>
    </w:p>
    <w:p>
      <w:pPr>
        <w:pStyle w:val="Normal"/>
        <w:spacing w:before="0" w:after="0"/>
        <w:ind w:firstLine="510"/>
        <w:jc w:val="center"/>
        <w:rPr/>
      </w:pPr>
      <w:r>
        <w:rPr>
          <w:rFonts w:eastAsia="NSimSun" w:cs="Times New Roman" w:ascii="Times New Roman" w:hAnsi="Times New Roman"/>
          <w:kern w:val="2"/>
          <w:sz w:val="24"/>
          <w:szCs w:val="24"/>
          <w:lang w:eastAsia="zh-CN" w:bidi="hi-IN"/>
        </w:rPr>
        <w:t xml:space="preserve">Таблиця </w:t>
      </w:r>
      <w:r>
        <w:rPr>
          <w:rFonts w:eastAsia="NSimSun" w:cs="Times New Roman" w:ascii="Times New Roman" w:hAnsi="Times New Roman"/>
          <w:color w:val="000000"/>
          <w:kern w:val="2"/>
          <w:sz w:val="24"/>
          <w:szCs w:val="24"/>
          <w:shd w:fill="FFFFFF" w:val="clear"/>
          <w:lang w:eastAsia="zh-CN" w:bidi="hi-IN"/>
        </w:rPr>
        <w:t>Д2.4</w:t>
      </w:r>
      <w:r>
        <w:rPr>
          <w:rFonts w:eastAsia="NSimSun" w:cs="Times New Roman" w:ascii="Times New Roman" w:hAnsi="Times New Roman"/>
          <w:color w:val="000000"/>
          <w:kern w:val="2"/>
          <w:sz w:val="24"/>
          <w:szCs w:val="24"/>
          <w:shd w:fill="FFFFFF" w:val="clear"/>
          <w:lang w:val="en-US" w:eastAsia="zh-CN" w:bidi="hi-IN"/>
        </w:rPr>
        <w:t>2</w:t>
      </w:r>
      <w:r>
        <w:rPr>
          <w:rFonts w:eastAsia="NSimSun" w:cs="Times New Roman" w:ascii="Times New Roman" w:hAnsi="Times New Roman"/>
          <w:kern w:val="2"/>
          <w:sz w:val="24"/>
          <w:szCs w:val="24"/>
          <w:lang w:eastAsia="zh-CN" w:bidi="hi-IN"/>
        </w:rPr>
        <w:t>. Загальні обсяги споживання палива муніципальним транспортом</w:t>
      </w:r>
    </w:p>
    <w:tbl>
      <w:tblPr>
        <w:tblW w:w="9718"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2669"/>
        <w:gridCol w:w="880"/>
        <w:gridCol w:w="884"/>
        <w:gridCol w:w="879"/>
        <w:gridCol w:w="883"/>
        <w:gridCol w:w="879"/>
        <w:gridCol w:w="886"/>
        <w:gridCol w:w="876"/>
        <w:gridCol w:w="881"/>
      </w:tblGrid>
      <w:tr>
        <w:trPr/>
        <w:tc>
          <w:tcPr>
            <w:tcW w:w="266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88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88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87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88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87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88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87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881"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2669"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Бензин (тис.л)</w:t>
            </w:r>
          </w:p>
        </w:tc>
        <w:tc>
          <w:tcPr>
            <w:tcW w:w="88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224,8</w:t>
            </w:r>
          </w:p>
        </w:tc>
        <w:tc>
          <w:tcPr>
            <w:tcW w:w="88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149,3</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195,9</w:t>
            </w:r>
          </w:p>
        </w:tc>
        <w:tc>
          <w:tcPr>
            <w:tcW w:w="88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198,9</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183,8</w:t>
            </w:r>
          </w:p>
        </w:tc>
        <w:tc>
          <w:tcPr>
            <w:tcW w:w="88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211,7</w:t>
            </w:r>
          </w:p>
        </w:tc>
        <w:tc>
          <w:tcPr>
            <w:tcW w:w="87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213,6</w:t>
            </w:r>
          </w:p>
        </w:tc>
        <w:tc>
          <w:tcPr>
            <w:tcW w:w="881"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color w:val="000000"/>
                <w:sz w:val="20"/>
                <w:szCs w:val="20"/>
              </w:rPr>
              <w:t>209,20</w:t>
            </w:r>
          </w:p>
        </w:tc>
      </w:tr>
      <w:tr>
        <w:trPr/>
        <w:tc>
          <w:tcPr>
            <w:tcW w:w="2669"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Дизельне пальне (тис.л)</w:t>
            </w:r>
          </w:p>
        </w:tc>
        <w:tc>
          <w:tcPr>
            <w:tcW w:w="88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170</w:t>
            </w:r>
          </w:p>
        </w:tc>
        <w:tc>
          <w:tcPr>
            <w:tcW w:w="88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209,1</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137,6</w:t>
            </w:r>
          </w:p>
        </w:tc>
        <w:tc>
          <w:tcPr>
            <w:tcW w:w="88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154,1</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172,8</w:t>
            </w:r>
          </w:p>
        </w:tc>
        <w:tc>
          <w:tcPr>
            <w:tcW w:w="88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164,9</w:t>
            </w:r>
          </w:p>
        </w:tc>
        <w:tc>
          <w:tcPr>
            <w:tcW w:w="87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226,5</w:t>
            </w:r>
          </w:p>
        </w:tc>
        <w:tc>
          <w:tcPr>
            <w:tcW w:w="881"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color w:val="000000"/>
                <w:sz w:val="20"/>
                <w:szCs w:val="20"/>
              </w:rPr>
              <w:t>244,10</w:t>
            </w:r>
          </w:p>
        </w:tc>
      </w:tr>
      <w:tr>
        <w:trPr/>
        <w:tc>
          <w:tcPr>
            <w:tcW w:w="2669"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CNG (Метан) (тис.л)</w:t>
            </w:r>
          </w:p>
        </w:tc>
        <w:tc>
          <w:tcPr>
            <w:tcW w:w="88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96,4</w:t>
            </w:r>
          </w:p>
        </w:tc>
        <w:tc>
          <w:tcPr>
            <w:tcW w:w="88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68,7</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75,4</w:t>
            </w:r>
          </w:p>
        </w:tc>
        <w:tc>
          <w:tcPr>
            <w:tcW w:w="88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77,4</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69,8</w:t>
            </w:r>
          </w:p>
        </w:tc>
        <w:tc>
          <w:tcPr>
            <w:tcW w:w="88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33,4</w:t>
            </w:r>
          </w:p>
        </w:tc>
        <w:tc>
          <w:tcPr>
            <w:tcW w:w="87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26,7</w:t>
            </w:r>
          </w:p>
        </w:tc>
        <w:tc>
          <w:tcPr>
            <w:tcW w:w="881"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color w:val="000000"/>
                <w:sz w:val="20"/>
                <w:szCs w:val="20"/>
              </w:rPr>
              <w:t>34,70</w:t>
            </w:r>
          </w:p>
        </w:tc>
      </w:tr>
      <w:tr>
        <w:trPr/>
        <w:tc>
          <w:tcPr>
            <w:tcW w:w="2669"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LPG (Пропан-Бутан) (тис.м</w:t>
            </w:r>
            <w:r>
              <w:rPr>
                <w:rFonts w:ascii="Times New Roman" w:hAnsi="Times New Roman"/>
                <w:sz w:val="20"/>
                <w:szCs w:val="20"/>
                <w:vertAlign w:val="superscript"/>
              </w:rPr>
              <w:t>3</w:t>
            </w:r>
            <w:r>
              <w:rPr>
                <w:rFonts w:ascii="Times New Roman" w:hAnsi="Times New Roman"/>
                <w:sz w:val="20"/>
                <w:szCs w:val="20"/>
              </w:rPr>
              <w:t>)</w:t>
            </w:r>
          </w:p>
        </w:tc>
        <w:tc>
          <w:tcPr>
            <w:tcW w:w="88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103,5</w:t>
            </w:r>
          </w:p>
        </w:tc>
        <w:tc>
          <w:tcPr>
            <w:tcW w:w="884"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91,9</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83,7</w:t>
            </w:r>
          </w:p>
        </w:tc>
        <w:tc>
          <w:tcPr>
            <w:tcW w:w="88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83,2</w:t>
            </w:r>
          </w:p>
        </w:tc>
        <w:tc>
          <w:tcPr>
            <w:tcW w:w="879"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67</w:t>
            </w:r>
          </w:p>
        </w:tc>
        <w:tc>
          <w:tcPr>
            <w:tcW w:w="88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16,7</w:t>
            </w:r>
          </w:p>
        </w:tc>
        <w:tc>
          <w:tcPr>
            <w:tcW w:w="876"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color w:val="000000"/>
                <w:sz w:val="20"/>
                <w:szCs w:val="20"/>
              </w:rPr>
              <w:t>19,3</w:t>
            </w:r>
          </w:p>
        </w:tc>
        <w:tc>
          <w:tcPr>
            <w:tcW w:w="881"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color w:val="000000"/>
                <w:sz w:val="20"/>
                <w:szCs w:val="20"/>
              </w:rPr>
              <w:t>122,30</w:t>
            </w:r>
          </w:p>
        </w:tc>
      </w:tr>
    </w:tbl>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Таблиця Д2.4</w:t>
      </w:r>
      <w:r>
        <w:rPr>
          <w:rFonts w:eastAsia="NSimSun" w:cs="Times New Roman" w:ascii="Times New Roman" w:hAnsi="Times New Roman"/>
          <w:color w:val="000000"/>
          <w:kern w:val="2"/>
          <w:sz w:val="24"/>
          <w:szCs w:val="24"/>
          <w:shd w:fill="FFFFFF" w:val="clear"/>
          <w:lang w:val="en-US" w:eastAsia="zh-CN" w:bidi="hi-IN"/>
        </w:rPr>
        <w:t>3</w:t>
      </w:r>
      <w:r>
        <w:rPr>
          <w:rFonts w:eastAsia="NSimSun" w:cs="Times New Roman" w:ascii="Times New Roman" w:hAnsi="Times New Roman"/>
          <w:color w:val="000000"/>
          <w:kern w:val="2"/>
          <w:sz w:val="24"/>
          <w:szCs w:val="24"/>
          <w:shd w:fill="FFFFFF" w:val="clear"/>
          <w:lang w:eastAsia="zh-CN" w:bidi="hi-IN"/>
        </w:rPr>
        <w:t xml:space="preserve">. Загальні обсяги споживання палива муніципальним транспортом </w:t>
      </w:r>
    </w:p>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м. Луцька, МВт.год</w:t>
      </w:r>
    </w:p>
    <w:tbl>
      <w:tblPr>
        <w:tblW w:w="9742"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2671"/>
        <w:gridCol w:w="878"/>
        <w:gridCol w:w="890"/>
        <w:gridCol w:w="885"/>
        <w:gridCol w:w="881"/>
        <w:gridCol w:w="893"/>
        <w:gridCol w:w="875"/>
        <w:gridCol w:w="900"/>
        <w:gridCol w:w="868"/>
      </w:tblGrid>
      <w:tr>
        <w:trPr/>
        <w:tc>
          <w:tcPr>
            <w:tcW w:w="267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878"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89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885"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88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893"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875"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90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868"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2671" w:type="dxa"/>
            <w:tcBorders>
              <w:start w:val="single" w:sz="4" w:space="0" w:color="000000"/>
              <w:bottom w:val="single" w:sz="4" w:space="0" w:color="000000"/>
            </w:tcBorders>
          </w:tcPr>
          <w:p>
            <w:pPr>
              <w:pStyle w:val="Style25"/>
              <w:spacing w:lineRule="auto" w:line="240" w:before="0" w:after="0"/>
              <w:rPr/>
            </w:pPr>
            <w:r>
              <w:rPr>
                <w:rFonts w:ascii="Times New Roman" w:hAnsi="Times New Roman"/>
                <w:sz w:val="20"/>
                <w:szCs w:val="20"/>
              </w:rPr>
              <w:t>Бензин</w:t>
            </w:r>
          </w:p>
        </w:tc>
        <w:tc>
          <w:tcPr>
            <w:tcW w:w="87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2101,8</w:t>
            </w:r>
          </w:p>
        </w:tc>
        <w:tc>
          <w:tcPr>
            <w:tcW w:w="89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1395,3</w:t>
            </w:r>
          </w:p>
        </w:tc>
        <w:tc>
          <w:tcPr>
            <w:tcW w:w="88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1830,8</w:t>
            </w:r>
          </w:p>
        </w:tc>
        <w:tc>
          <w:tcPr>
            <w:tcW w:w="88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1859,5</w:t>
            </w:r>
          </w:p>
        </w:tc>
        <w:tc>
          <w:tcPr>
            <w:tcW w:w="89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1718,0</w:t>
            </w:r>
          </w:p>
        </w:tc>
        <w:tc>
          <w:tcPr>
            <w:tcW w:w="87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1979,3</w:t>
            </w:r>
          </w:p>
        </w:tc>
        <w:tc>
          <w:tcPr>
            <w:tcW w:w="90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1996,2</w:t>
            </w:r>
          </w:p>
        </w:tc>
        <w:tc>
          <w:tcPr>
            <w:tcW w:w="86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1956,0</w:t>
            </w:r>
          </w:p>
        </w:tc>
      </w:tr>
      <w:tr>
        <w:trPr/>
        <w:tc>
          <w:tcPr>
            <w:tcW w:w="2671" w:type="dxa"/>
            <w:tcBorders>
              <w:start w:val="single" w:sz="4" w:space="0" w:color="000000"/>
              <w:bottom w:val="single" w:sz="4" w:space="0" w:color="000000"/>
            </w:tcBorders>
          </w:tcPr>
          <w:p>
            <w:pPr>
              <w:pStyle w:val="Style25"/>
              <w:spacing w:lineRule="auto" w:line="240" w:before="0" w:after="0"/>
              <w:rPr/>
            </w:pPr>
            <w:r>
              <w:rPr>
                <w:rFonts w:ascii="Times New Roman" w:hAnsi="Times New Roman"/>
                <w:sz w:val="20"/>
                <w:szCs w:val="20"/>
              </w:rPr>
              <w:t>Дизельне пальне</w:t>
            </w:r>
          </w:p>
        </w:tc>
        <w:tc>
          <w:tcPr>
            <w:tcW w:w="87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1699,7</w:t>
            </w:r>
          </w:p>
        </w:tc>
        <w:tc>
          <w:tcPr>
            <w:tcW w:w="89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2090,1</w:t>
            </w:r>
          </w:p>
        </w:tc>
        <w:tc>
          <w:tcPr>
            <w:tcW w:w="88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1375,4</w:t>
            </w:r>
          </w:p>
        </w:tc>
        <w:tc>
          <w:tcPr>
            <w:tcW w:w="88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1540,7</w:t>
            </w:r>
          </w:p>
        </w:tc>
        <w:tc>
          <w:tcPr>
            <w:tcW w:w="89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1727,0</w:t>
            </w:r>
          </w:p>
        </w:tc>
        <w:tc>
          <w:tcPr>
            <w:tcW w:w="87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1647,8</w:t>
            </w:r>
          </w:p>
        </w:tc>
        <w:tc>
          <w:tcPr>
            <w:tcW w:w="90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2264,0</w:t>
            </w:r>
          </w:p>
        </w:tc>
        <w:tc>
          <w:tcPr>
            <w:tcW w:w="86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2439,9</w:t>
            </w:r>
          </w:p>
        </w:tc>
      </w:tr>
      <w:tr>
        <w:trPr/>
        <w:tc>
          <w:tcPr>
            <w:tcW w:w="2671" w:type="dxa"/>
            <w:tcBorders>
              <w:start w:val="single" w:sz="4" w:space="0" w:color="000000"/>
              <w:bottom w:val="single" w:sz="4" w:space="0" w:color="000000"/>
            </w:tcBorders>
          </w:tcPr>
          <w:p>
            <w:pPr>
              <w:pStyle w:val="Style25"/>
              <w:spacing w:lineRule="auto" w:line="240" w:before="0" w:after="0"/>
              <w:rPr/>
            </w:pPr>
            <w:r>
              <w:rPr>
                <w:rFonts w:ascii="Times New Roman" w:hAnsi="Times New Roman"/>
                <w:sz w:val="20"/>
                <w:szCs w:val="20"/>
              </w:rPr>
              <w:t>CNG (Метан)</w:t>
            </w:r>
          </w:p>
        </w:tc>
        <w:tc>
          <w:tcPr>
            <w:tcW w:w="87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309,4</w:t>
            </w:r>
          </w:p>
        </w:tc>
        <w:tc>
          <w:tcPr>
            <w:tcW w:w="89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220,4</w:t>
            </w:r>
          </w:p>
        </w:tc>
        <w:tc>
          <w:tcPr>
            <w:tcW w:w="88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242,1</w:t>
            </w:r>
          </w:p>
        </w:tc>
        <w:tc>
          <w:tcPr>
            <w:tcW w:w="88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248,4</w:t>
            </w:r>
          </w:p>
        </w:tc>
        <w:tc>
          <w:tcPr>
            <w:tcW w:w="89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224,1</w:t>
            </w:r>
          </w:p>
        </w:tc>
        <w:tc>
          <w:tcPr>
            <w:tcW w:w="87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107,2</w:t>
            </w:r>
          </w:p>
        </w:tc>
        <w:tc>
          <w:tcPr>
            <w:tcW w:w="90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85,7</w:t>
            </w:r>
          </w:p>
        </w:tc>
        <w:tc>
          <w:tcPr>
            <w:tcW w:w="86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111,4</w:t>
            </w:r>
          </w:p>
        </w:tc>
      </w:tr>
      <w:tr>
        <w:trPr/>
        <w:tc>
          <w:tcPr>
            <w:tcW w:w="2671" w:type="dxa"/>
            <w:tcBorders>
              <w:start w:val="single" w:sz="4" w:space="0" w:color="000000"/>
              <w:bottom w:val="single" w:sz="4" w:space="0" w:color="000000"/>
            </w:tcBorders>
          </w:tcPr>
          <w:p>
            <w:pPr>
              <w:pStyle w:val="Style25"/>
              <w:spacing w:lineRule="auto" w:line="240" w:before="0" w:after="0"/>
              <w:rPr/>
            </w:pPr>
            <w:r>
              <w:rPr>
                <w:rFonts w:ascii="Times New Roman" w:hAnsi="Times New Roman"/>
                <w:sz w:val="20"/>
                <w:szCs w:val="20"/>
              </w:rPr>
              <w:t>LPG (Пропан-Бутан)</w:t>
            </w:r>
          </w:p>
        </w:tc>
        <w:tc>
          <w:tcPr>
            <w:tcW w:w="87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720,8</w:t>
            </w:r>
          </w:p>
        </w:tc>
        <w:tc>
          <w:tcPr>
            <w:tcW w:w="89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639,6</w:t>
            </w:r>
          </w:p>
        </w:tc>
        <w:tc>
          <w:tcPr>
            <w:tcW w:w="88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582,9</w:t>
            </w:r>
          </w:p>
        </w:tc>
        <w:tc>
          <w:tcPr>
            <w:tcW w:w="88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578,9</w:t>
            </w:r>
          </w:p>
        </w:tc>
        <w:tc>
          <w:tcPr>
            <w:tcW w:w="89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466,6</w:t>
            </w:r>
          </w:p>
        </w:tc>
        <w:tc>
          <w:tcPr>
            <w:tcW w:w="87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116,1</w:t>
            </w:r>
          </w:p>
        </w:tc>
        <w:tc>
          <w:tcPr>
            <w:tcW w:w="90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134,2</w:t>
            </w:r>
          </w:p>
        </w:tc>
        <w:tc>
          <w:tcPr>
            <w:tcW w:w="86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851,4</w:t>
            </w:r>
          </w:p>
        </w:tc>
      </w:tr>
      <w:tr>
        <w:trPr/>
        <w:tc>
          <w:tcPr>
            <w:tcW w:w="267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Всього</w:t>
            </w:r>
          </w:p>
        </w:tc>
        <w:tc>
          <w:tcPr>
            <w:tcW w:w="878"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4831,8</w:t>
            </w:r>
          </w:p>
        </w:tc>
        <w:tc>
          <w:tcPr>
            <w:tcW w:w="89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4345,4</w:t>
            </w:r>
          </w:p>
        </w:tc>
        <w:tc>
          <w:tcPr>
            <w:tcW w:w="88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4031,1</w:t>
            </w:r>
          </w:p>
        </w:tc>
        <w:tc>
          <w:tcPr>
            <w:tcW w:w="881"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4227,5</w:t>
            </w:r>
          </w:p>
        </w:tc>
        <w:tc>
          <w:tcPr>
            <w:tcW w:w="893"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4135,7</w:t>
            </w:r>
          </w:p>
        </w:tc>
        <w:tc>
          <w:tcPr>
            <w:tcW w:w="875"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3850,4</w:t>
            </w:r>
          </w:p>
        </w:tc>
        <w:tc>
          <w:tcPr>
            <w:tcW w:w="90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4480,1</w:t>
            </w:r>
          </w:p>
        </w:tc>
        <w:tc>
          <w:tcPr>
            <w:tcW w:w="868" w:type="dxa"/>
            <w:tcBorders>
              <w:start w:val="single" w:sz="4" w:space="0" w:color="000000"/>
              <w:bottom w:val="single" w:sz="4" w:space="0" w:color="000000"/>
              <w:end w:val="single" w:sz="4" w:space="0" w:color="000000"/>
            </w:tcBorders>
          </w:tcPr>
          <w:p>
            <w:pPr>
              <w:pStyle w:val="Style25"/>
              <w:spacing w:lineRule="auto" w:line="240" w:before="0" w:after="0"/>
              <w:jc w:val="center"/>
              <w:rPr/>
            </w:pPr>
            <w:r>
              <w:rPr>
                <w:rFonts w:ascii="Times New Roman" w:hAnsi="Times New Roman"/>
                <w:sz w:val="20"/>
                <w:szCs w:val="20"/>
              </w:rPr>
              <w:t>5358,7</w:t>
            </w:r>
          </w:p>
        </w:tc>
      </w:tr>
    </w:tbl>
    <w:p>
      <w:pPr>
        <w:pStyle w:val="Normal"/>
        <w:spacing w:before="0" w:after="0"/>
        <w:ind w:firstLine="510"/>
        <w:jc w:val="both"/>
        <w:rPr>
          <w:rFonts w:ascii="Times New Roman" w:hAnsi="Times New Roman" w:eastAsia="NSimSun" w:cs="Times New Roman"/>
          <w:color w:val="00FF7F"/>
          <w:kern w:val="2"/>
          <w:sz w:val="24"/>
          <w:szCs w:val="24"/>
          <w:shd w:fill="FFFF00" w:val="clear"/>
          <w:lang w:eastAsia="zh-CN" w:bidi="hi-IN"/>
        </w:rPr>
      </w:pPr>
      <w:r>
        <w:rPr>
          <w:rFonts w:eastAsia="NSimSun" w:cs="Times New Roman" w:ascii="Times New Roman" w:hAnsi="Times New Roman"/>
          <w:color w:val="00FF7F"/>
          <w:kern w:val="2"/>
          <w:sz w:val="24"/>
          <w:szCs w:val="24"/>
          <w:shd w:fill="FFFF00" w:val="clear"/>
          <w:lang w:eastAsia="zh-CN" w:bidi="hi-IN"/>
        </w:rPr>
      </w:r>
    </w:p>
    <w:p>
      <w:pPr>
        <w:pStyle w:val="Normal"/>
        <w:spacing w:before="0" w:after="0"/>
        <w:ind w:firstLine="510"/>
        <w:jc w:val="center"/>
        <w:rPr>
          <w:rFonts w:ascii="Times New Roman" w:hAnsi="Times New Roman" w:cs="Times New Roman"/>
        </w:rPr>
      </w:pPr>
      <w:r>
        <w:rPr>
          <w:rFonts w:cs="Times New Roman" w:ascii="Times New Roman" w:hAnsi="Times New Roman"/>
        </w:rPr>
        <w:drawing>
          <wp:anchor behindDoc="0" distT="0" distB="0" distL="0" distR="0" simplePos="0" locked="0" layoutInCell="0" allowOverlap="1" relativeHeight="5">
            <wp:simplePos x="0" y="0"/>
            <wp:positionH relativeFrom="column">
              <wp:posOffset>1132205</wp:posOffset>
            </wp:positionH>
            <wp:positionV relativeFrom="paragraph">
              <wp:posOffset>140970</wp:posOffset>
            </wp:positionV>
            <wp:extent cx="4002405" cy="2251075"/>
            <wp:effectExtent l="0" t="0" r="0" b="0"/>
            <wp:wrapSquare wrapText="largest"/>
            <wp:docPr id="58" name="Об'єкт41"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anchor>
        </w:drawing>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rFonts w:ascii="Times New Roman" w:hAnsi="Times New Roman" w:cs="Times New Roman"/>
        </w:rPr>
      </w:pPr>
      <w:r>
        <w:rPr>
          <w:rFonts w:cs="Times New Roman" w:ascii="Times New Roman" w:hAnsi="Times New Roman"/>
        </w:rPr>
      </w:r>
    </w:p>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Рисунок Д2.29. Загальні обсяги споживання палива муніципальним транспортом, МВт.год</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Муніципальний транспорт який обслуговує перевезення пасажирів у Луцькій МТГ наведено в Д2.3.10.  «Громадський транспорт та відповідна інфраструктура».</w:t>
      </w:r>
    </w:p>
    <w:p>
      <w:pPr>
        <w:pStyle w:val="Normal"/>
        <w:spacing w:before="0" w:after="0"/>
        <w:ind w:firstLine="510"/>
        <w:jc w:val="both"/>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lineRule="auto" w:line="240" w:before="0" w:after="0"/>
        <w:ind w:firstLine="510"/>
        <w:jc w:val="both"/>
        <w:rPr/>
      </w:pPr>
      <w:r>
        <w:rPr>
          <w:rFonts w:eastAsia="NSimSun" w:cs="Times New Roman" w:ascii="Times New Roman" w:hAnsi="Times New Roman"/>
          <w:b/>
          <w:bCs/>
          <w:color w:val="000000"/>
          <w:kern w:val="2"/>
          <w:sz w:val="24"/>
          <w:szCs w:val="24"/>
          <w:shd w:fill="FFFFFF" w:val="clear"/>
          <w:lang w:eastAsia="zh-CN" w:bidi="hi-IN"/>
        </w:rPr>
        <w:t xml:space="preserve">Д2.3.12. Приватний та комерційний транспорт </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 xml:space="preserve">В Луцькій МТГ протягом останніх років помітно збільшується кількість транспорту, що значно погіршує умови переміщення містом та призводить до збільшення викидів </w:t>
      </w:r>
      <w:r>
        <w:rPr>
          <w:rFonts w:cs="Times New Roman" w:ascii="Times New Roman" w:hAnsi="Times New Roman"/>
          <w:color w:val="000000"/>
          <w:sz w:val="24"/>
          <w:szCs w:val="24"/>
          <w:shd w:fill="FFFFFF" w:val="clear"/>
          <w:lang w:eastAsia="ru-RU"/>
        </w:rPr>
        <w:t>СО</w:t>
      </w:r>
      <w:r>
        <w:rPr>
          <w:rFonts w:cs="Times New Roman" w:ascii="Times New Roman" w:hAnsi="Times New Roman"/>
          <w:color w:val="000000"/>
          <w:sz w:val="24"/>
          <w:szCs w:val="24"/>
          <w:shd w:fill="FFFFFF" w:val="clear"/>
          <w:vertAlign w:val="subscript"/>
          <w:lang w:eastAsia="ru-RU"/>
        </w:rPr>
        <w:t>2</w:t>
      </w:r>
      <w:r>
        <w:rPr>
          <w:rFonts w:eastAsia="NSimSun" w:cs="Times New Roman" w:ascii="Times New Roman" w:hAnsi="Times New Roman"/>
          <w:color w:val="000000"/>
          <w:kern w:val="2"/>
          <w:sz w:val="24"/>
          <w:szCs w:val="24"/>
          <w:shd w:fill="FFFFFF" w:val="clear"/>
          <w:lang w:eastAsia="zh-CN" w:bidi="hi-IN"/>
        </w:rPr>
        <w:t>.</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У таблиці Д2.</w:t>
      </w:r>
      <w:r>
        <w:rPr>
          <w:rFonts w:eastAsia="NSimSun" w:cs="Times New Roman" w:ascii="Times New Roman" w:hAnsi="Times New Roman"/>
          <w:color w:val="000000"/>
          <w:kern w:val="2"/>
          <w:sz w:val="24"/>
          <w:szCs w:val="24"/>
          <w:shd w:fill="FFFFFF" w:val="clear"/>
          <w:lang w:val="en-US" w:eastAsia="zh-CN" w:bidi="hi-IN"/>
        </w:rPr>
        <w:t>44</w:t>
      </w:r>
      <w:r>
        <w:rPr>
          <w:rFonts w:eastAsia="NSimSun" w:cs="Times New Roman" w:ascii="Times New Roman" w:hAnsi="Times New Roman"/>
          <w:color w:val="000000"/>
          <w:kern w:val="2"/>
          <w:sz w:val="24"/>
          <w:szCs w:val="24"/>
          <w:shd w:fill="FFFFFF" w:val="clear"/>
          <w:lang w:eastAsia="zh-CN" w:bidi="hi-IN"/>
        </w:rPr>
        <w:t>. подано інформацію про кількість зареєстрованого автомобільного транспорту, отримана від Головного сервісного центру МВС регіонального сервісного центру ГСЦ МВС у Волинській області.</w:t>
      </w:r>
    </w:p>
    <w:p>
      <w:pPr>
        <w:pStyle w:val="Normal"/>
        <w:spacing w:before="0" w:after="0"/>
        <w:ind w:firstLine="510"/>
        <w:jc w:val="center"/>
        <w:rPr>
          <w:rFonts w:ascii="Times New Roman" w:hAnsi="Times New Roman" w:eastAsia="NSimSun" w:cs="Times New Roman"/>
          <w:color w:val="000000"/>
          <w:kern w:val="2"/>
          <w:sz w:val="24"/>
          <w:szCs w:val="24"/>
          <w:shd w:fill="FFFFFF" w:val="clear"/>
          <w:lang w:eastAsia="zh-CN" w:bidi="hi-IN"/>
        </w:rPr>
      </w:pPr>
      <w:r>
        <w:rPr/>
      </w:r>
    </w:p>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Таблиця Д2.</w:t>
      </w:r>
      <w:r>
        <w:rPr>
          <w:rFonts w:eastAsia="NSimSun" w:cs="Times New Roman" w:ascii="Times New Roman" w:hAnsi="Times New Roman"/>
          <w:color w:val="000000"/>
          <w:kern w:val="2"/>
          <w:sz w:val="24"/>
          <w:szCs w:val="24"/>
          <w:shd w:fill="FFFFFF" w:val="clear"/>
          <w:lang w:val="en-US" w:eastAsia="zh-CN" w:bidi="hi-IN"/>
        </w:rPr>
        <w:t>44</w:t>
      </w:r>
      <w:r>
        <w:rPr>
          <w:rFonts w:eastAsia="NSimSun" w:cs="Times New Roman" w:ascii="Times New Roman" w:hAnsi="Times New Roman"/>
          <w:color w:val="000000"/>
          <w:kern w:val="2"/>
          <w:sz w:val="24"/>
          <w:szCs w:val="24"/>
          <w:shd w:fill="FFFFFF" w:val="clear"/>
          <w:lang w:eastAsia="zh-CN" w:bidi="hi-IN"/>
        </w:rPr>
        <w:t xml:space="preserve">. Кількість зареєстрованого автомобільного транспорту </w:t>
      </w:r>
    </w:p>
    <w:tbl>
      <w:tblPr>
        <w:tblW w:w="9649" w:type="dxa"/>
        <w:jc w:val="start"/>
        <w:tblInd w:w="5" w:type="dxa"/>
        <w:tblLayout w:type="fixed"/>
        <w:tblCellMar>
          <w:top w:w="0" w:type="dxa"/>
          <w:start w:w="5" w:type="dxa"/>
          <w:bottom w:w="0" w:type="dxa"/>
          <w:end w:w="5" w:type="dxa"/>
        </w:tblCellMar>
        <w:tblLook w:firstRow="1" w:noVBand="1" w:lastRow="0" w:firstColumn="1" w:lastColumn="0" w:noHBand="0" w:val="04a0"/>
      </w:tblPr>
      <w:tblGrid>
        <w:gridCol w:w="4398"/>
        <w:gridCol w:w="2694"/>
        <w:gridCol w:w="2557"/>
      </w:tblGrid>
      <w:tr>
        <w:trPr/>
        <w:tc>
          <w:tcPr>
            <w:tcW w:w="439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Типи транспорту</w:t>
            </w:r>
          </w:p>
        </w:tc>
        <w:tc>
          <w:tcPr>
            <w:tcW w:w="269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Кількість у</w:t>
            </w:r>
          </w:p>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 xml:space="preserve"> </w:t>
            </w:r>
            <w:r>
              <w:rPr>
                <w:rFonts w:eastAsia="Microsoft Sans Serif" w:cs="Times New Roman" w:ascii="Times New Roman" w:hAnsi="Times New Roman"/>
                <w:color w:val="000000"/>
                <w:kern w:val="2"/>
                <w:sz w:val="20"/>
                <w:szCs w:val="20"/>
                <w:shd w:fill="FFFFFF" w:val="clear"/>
              </w:rPr>
              <w:t>м. Луцьку (од.)</w:t>
            </w:r>
          </w:p>
        </w:tc>
        <w:tc>
          <w:tcPr>
            <w:tcW w:w="25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shd w:fill="FFFFFF" w:val="clear"/>
              </w:rPr>
              <w:t>Кількість у Луцькій МТГ (од.) *</w:t>
            </w:r>
          </w:p>
        </w:tc>
      </w:tr>
      <w:tr>
        <w:trPr/>
        <w:tc>
          <w:tcPr>
            <w:tcW w:w="439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Мотоцикли</w:t>
            </w:r>
          </w:p>
        </w:tc>
        <w:tc>
          <w:tcPr>
            <w:tcW w:w="269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607</w:t>
            </w:r>
          </w:p>
        </w:tc>
        <w:tc>
          <w:tcPr>
            <w:tcW w:w="25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815</w:t>
            </w:r>
          </w:p>
        </w:tc>
      </w:tr>
      <w:tr>
        <w:trPr/>
        <w:tc>
          <w:tcPr>
            <w:tcW w:w="4398"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Мотоцикли з електродвигуном</w:t>
            </w:r>
          </w:p>
        </w:tc>
        <w:tc>
          <w:tcPr>
            <w:tcW w:w="269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w:t>
            </w:r>
          </w:p>
        </w:tc>
        <w:tc>
          <w:tcPr>
            <w:tcW w:w="255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w:t>
            </w:r>
          </w:p>
        </w:tc>
      </w:tr>
      <w:tr>
        <w:trPr/>
        <w:tc>
          <w:tcPr>
            <w:tcW w:w="439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Легкові автомобілі</w:t>
            </w:r>
          </w:p>
        </w:tc>
        <w:tc>
          <w:tcPr>
            <w:tcW w:w="269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21111</w:t>
            </w:r>
          </w:p>
        </w:tc>
        <w:tc>
          <w:tcPr>
            <w:tcW w:w="25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24002</w:t>
            </w:r>
          </w:p>
        </w:tc>
      </w:tr>
      <w:tr>
        <w:trPr/>
        <w:tc>
          <w:tcPr>
            <w:tcW w:w="4398"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Легкові автомобілі з електродвигуном</w:t>
            </w:r>
          </w:p>
        </w:tc>
        <w:tc>
          <w:tcPr>
            <w:tcW w:w="269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157</w:t>
            </w:r>
          </w:p>
        </w:tc>
        <w:tc>
          <w:tcPr>
            <w:tcW w:w="255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178</w:t>
            </w:r>
          </w:p>
        </w:tc>
      </w:tr>
      <w:tr>
        <w:trPr/>
        <w:tc>
          <w:tcPr>
            <w:tcW w:w="4398"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Легкові автомобілі з гібридним двигуном</w:t>
            </w:r>
          </w:p>
        </w:tc>
        <w:tc>
          <w:tcPr>
            <w:tcW w:w="269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163</w:t>
            </w:r>
          </w:p>
        </w:tc>
        <w:tc>
          <w:tcPr>
            <w:tcW w:w="255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176</w:t>
            </w:r>
          </w:p>
        </w:tc>
      </w:tr>
      <w:tr>
        <w:trPr/>
        <w:tc>
          <w:tcPr>
            <w:tcW w:w="439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Вантажні автомобілі</w:t>
            </w:r>
          </w:p>
        </w:tc>
        <w:tc>
          <w:tcPr>
            <w:tcW w:w="269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2250</w:t>
            </w:r>
          </w:p>
        </w:tc>
        <w:tc>
          <w:tcPr>
            <w:tcW w:w="25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2518</w:t>
            </w:r>
          </w:p>
        </w:tc>
      </w:tr>
      <w:tr>
        <w:trPr/>
        <w:tc>
          <w:tcPr>
            <w:tcW w:w="4398"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Вантажні автомобілі з електродвигуном</w:t>
            </w:r>
          </w:p>
        </w:tc>
        <w:tc>
          <w:tcPr>
            <w:tcW w:w="269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65</w:t>
            </w:r>
          </w:p>
        </w:tc>
        <w:tc>
          <w:tcPr>
            <w:tcW w:w="255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72</w:t>
            </w:r>
          </w:p>
        </w:tc>
      </w:tr>
      <w:tr>
        <w:trPr/>
        <w:tc>
          <w:tcPr>
            <w:tcW w:w="439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Автобуси</w:t>
            </w:r>
          </w:p>
        </w:tc>
        <w:tc>
          <w:tcPr>
            <w:tcW w:w="269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275</w:t>
            </w:r>
          </w:p>
        </w:tc>
        <w:tc>
          <w:tcPr>
            <w:tcW w:w="25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331</w:t>
            </w:r>
          </w:p>
        </w:tc>
      </w:tr>
      <w:tr>
        <w:trPr/>
        <w:tc>
          <w:tcPr>
            <w:tcW w:w="439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Автобуси з електродвигуном</w:t>
            </w:r>
          </w:p>
        </w:tc>
        <w:tc>
          <w:tcPr>
            <w:tcW w:w="269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10</w:t>
            </w:r>
          </w:p>
        </w:tc>
        <w:tc>
          <w:tcPr>
            <w:tcW w:w="255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11</w:t>
            </w:r>
          </w:p>
        </w:tc>
      </w:tr>
      <w:tr>
        <w:trPr/>
        <w:tc>
          <w:tcPr>
            <w:tcW w:w="4398"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Спецтранспорт</w:t>
            </w:r>
          </w:p>
        </w:tc>
        <w:tc>
          <w:tcPr>
            <w:tcW w:w="2694"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197</w:t>
            </w:r>
          </w:p>
        </w:tc>
        <w:tc>
          <w:tcPr>
            <w:tcW w:w="2557" w:type="dxa"/>
            <w:tcBorders>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213</w:t>
            </w:r>
          </w:p>
        </w:tc>
      </w:tr>
      <w:tr>
        <w:trPr/>
        <w:tc>
          <w:tcPr>
            <w:tcW w:w="4398" w:type="dxa"/>
            <w:tcBorders>
              <w:start w:val="single" w:sz="4" w:space="0" w:color="000000"/>
              <w:bottom w:val="single" w:sz="4" w:space="0" w:color="000000"/>
              <w:end w:val="single" w:sz="4" w:space="0" w:color="000000"/>
            </w:tcBorders>
            <w:vAlign w:val="center"/>
          </w:tcPr>
          <w:p>
            <w:pPr>
              <w:pStyle w:val="Normal"/>
              <w:widowControl w:val="false"/>
              <w:spacing w:lineRule="auto" w:line="240" w:before="0" w:after="0"/>
              <w:rPr/>
            </w:pPr>
            <w:r>
              <w:rPr>
                <w:rFonts w:eastAsia="Microsoft Sans Serif" w:cs="Times New Roman" w:ascii="Times New Roman" w:hAnsi="Times New Roman"/>
                <w:color w:val="000000"/>
                <w:kern w:val="2"/>
                <w:sz w:val="20"/>
                <w:szCs w:val="20"/>
              </w:rPr>
              <w:t>Всього</w:t>
            </w:r>
          </w:p>
        </w:tc>
        <w:tc>
          <w:tcPr>
            <w:tcW w:w="269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24836</w:t>
            </w:r>
          </w:p>
        </w:tc>
        <w:tc>
          <w:tcPr>
            <w:tcW w:w="255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center"/>
              <w:rPr/>
            </w:pPr>
            <w:r>
              <w:rPr>
                <w:rFonts w:eastAsia="Microsoft Sans Serif" w:cs="Times New Roman" w:ascii="Times New Roman" w:hAnsi="Times New Roman"/>
                <w:color w:val="000000"/>
                <w:kern w:val="2"/>
                <w:sz w:val="20"/>
                <w:szCs w:val="20"/>
              </w:rPr>
              <w:t>28317</w:t>
            </w:r>
          </w:p>
        </w:tc>
      </w:tr>
    </w:tbl>
    <w:p>
      <w:pPr>
        <w:pStyle w:val="Normal"/>
        <w:spacing w:lineRule="auto" w:line="240" w:before="0" w:after="0"/>
        <w:jc w:val="both"/>
        <w:rPr/>
      </w:pPr>
      <w:r>
        <w:rPr>
          <w:rFonts w:eastAsia="NSimSun" w:cs="Times New Roman" w:ascii="Times New Roman" w:hAnsi="Times New Roman"/>
          <w:color w:val="000000"/>
          <w:kern w:val="2"/>
          <w:sz w:val="16"/>
          <w:szCs w:val="16"/>
          <w:shd w:fill="FFFFFF" w:val="clear"/>
          <w:lang w:bidi="hi-IN"/>
        </w:rPr>
        <w:t>*Дані отримано розрахунковим шляхом на основі показників Головного сервісного центру МВС регіонального сервісного центру ГСЦ МВС у Волинській області (по ТСЦ0741 пропорційно кількості населення Луцької МТГ).</w:t>
      </w:r>
    </w:p>
    <w:p>
      <w:pPr>
        <w:pStyle w:val="Normal"/>
        <w:spacing w:before="0" w:after="0"/>
        <w:ind w:firstLine="510"/>
        <w:jc w:val="both"/>
        <w:rPr/>
      </w:pPr>
      <w:r>
        <w:rPr>
          <w:rFonts w:eastAsia="NSimSun" w:cs="Times New Roman" w:ascii="Times New Roman" w:hAnsi="Times New Roman"/>
          <w:color w:val="000000"/>
          <w:kern w:val="2"/>
          <w:sz w:val="24"/>
          <w:szCs w:val="24"/>
          <w:shd w:fill="FFFFFF" w:val="clear"/>
          <w:lang w:eastAsia="zh-CN" w:bidi="hi-IN"/>
        </w:rPr>
        <w:t xml:space="preserve">Левову частку серед приватного автомобільного транспорту у Луцькій МТГ займають легкові автомобілі. Їх частка в загальній кількості автотранспорту міста складала 85 %.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Нижче в таблиці Д2.</w:t>
      </w:r>
      <w:r>
        <w:rPr>
          <w:rFonts w:eastAsia="NSimSun" w:cs="Times New Roman" w:ascii="Times New Roman" w:hAnsi="Times New Roman"/>
          <w:color w:val="000000"/>
          <w:kern w:val="2"/>
          <w:sz w:val="24"/>
          <w:szCs w:val="24"/>
          <w:shd w:fill="FFFFFF" w:val="clear"/>
          <w:lang w:val="en-US" w:eastAsia="zh-CN" w:bidi="hi-IN"/>
        </w:rPr>
        <w:t>45</w:t>
      </w:r>
      <w:r>
        <w:rPr>
          <w:rFonts w:eastAsia="NSimSun" w:cs="Times New Roman" w:ascii="Times New Roman" w:hAnsi="Times New Roman"/>
          <w:color w:val="000000"/>
          <w:kern w:val="2"/>
          <w:sz w:val="24"/>
          <w:szCs w:val="24"/>
          <w:shd w:fill="FFFFFF" w:val="clear"/>
          <w:lang w:eastAsia="zh-CN" w:bidi="hi-IN"/>
        </w:rPr>
        <w:t>. подано розрахункові дані споживання палива приватним транспортом у 2020 році.</w:t>
      </w:r>
    </w:p>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Таблиця Д2.</w:t>
      </w:r>
      <w:r>
        <w:rPr>
          <w:rFonts w:eastAsia="NSimSun" w:cs="Times New Roman" w:ascii="Times New Roman" w:hAnsi="Times New Roman"/>
          <w:color w:val="000000"/>
          <w:kern w:val="2"/>
          <w:sz w:val="24"/>
          <w:szCs w:val="24"/>
          <w:shd w:fill="FFFFFF" w:val="clear"/>
          <w:lang w:val="en-US" w:eastAsia="zh-CN" w:bidi="hi-IN"/>
        </w:rPr>
        <w:t>45</w:t>
      </w:r>
      <w:r>
        <w:rPr>
          <w:rFonts w:eastAsia="NSimSun" w:cs="Times New Roman" w:ascii="Times New Roman" w:hAnsi="Times New Roman"/>
          <w:color w:val="000000"/>
          <w:kern w:val="2"/>
          <w:sz w:val="24"/>
          <w:szCs w:val="24"/>
          <w:shd w:fill="FFFFFF" w:val="clear"/>
          <w:lang w:eastAsia="zh-CN" w:bidi="hi-IN"/>
        </w:rPr>
        <w:t xml:space="preserve">. Споживання пального приватним та комерційним транспортом </w:t>
      </w:r>
    </w:p>
    <w:tbl>
      <w:tblPr>
        <w:tblW w:w="9719"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1449"/>
        <w:gridCol w:w="1034"/>
        <w:gridCol w:w="1034"/>
        <w:gridCol w:w="1034"/>
        <w:gridCol w:w="1031"/>
        <w:gridCol w:w="1034"/>
        <w:gridCol w:w="1034"/>
        <w:gridCol w:w="1034"/>
        <w:gridCol w:w="1034"/>
      </w:tblGrid>
      <w:tr>
        <w:trPr/>
        <w:tc>
          <w:tcPr>
            <w:tcW w:w="1449"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103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103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Електроенергія (МВт)</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752,97</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792,60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817,12</w:t>
            </w:r>
          </w:p>
        </w:tc>
        <w:tc>
          <w:tcPr>
            <w:tcW w:w="103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833,79</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858,81</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790,10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916,52</w:t>
            </w:r>
          </w:p>
        </w:tc>
        <w:tc>
          <w:tcPr>
            <w:tcW w:w="1034"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992,21</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Бензин (тис.л)</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8537,70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8987,00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9264,90</w:t>
            </w:r>
          </w:p>
        </w:tc>
        <w:tc>
          <w:tcPr>
            <w:tcW w:w="103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9454,1</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9737,70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8958,70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10392,10</w:t>
            </w:r>
          </w:p>
        </w:tc>
        <w:tc>
          <w:tcPr>
            <w:tcW w:w="1034"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11155,80</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Дизельне пальне (тис.л)</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9333,20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9824,40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10128,30</w:t>
            </w:r>
          </w:p>
        </w:tc>
        <w:tc>
          <w:tcPr>
            <w:tcW w:w="103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10334,9</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10645,00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9793,40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11360,40</w:t>
            </w:r>
          </w:p>
        </w:tc>
        <w:tc>
          <w:tcPr>
            <w:tcW w:w="1034"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12195,30</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CNG (Метан) (тис.л)</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1228,80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1293,40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1333,40</w:t>
            </w:r>
          </w:p>
        </w:tc>
        <w:tc>
          <w:tcPr>
            <w:tcW w:w="103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1360,6</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1401,50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1289,40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1495,60</w:t>
            </w:r>
          </w:p>
        </w:tc>
        <w:tc>
          <w:tcPr>
            <w:tcW w:w="1034"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1605,60</w:t>
            </w:r>
          </w:p>
        </w:tc>
      </w:tr>
      <w:tr>
        <w:trPr/>
        <w:tc>
          <w:tcPr>
            <w:tcW w:w="1449" w:type="dxa"/>
            <w:tcBorders>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LPG (Пропан-Бутан) (тис.м</w:t>
            </w:r>
            <w:r>
              <w:rPr>
                <w:rFonts w:ascii="Times New Roman" w:hAnsi="Times New Roman"/>
                <w:sz w:val="20"/>
                <w:szCs w:val="20"/>
                <w:vertAlign w:val="superscript"/>
              </w:rPr>
              <w:t>3</w:t>
            </w:r>
            <w:r>
              <w:rPr>
                <w:rFonts w:ascii="Times New Roman" w:hAnsi="Times New Roman"/>
                <w:sz w:val="20"/>
                <w:szCs w:val="20"/>
              </w:rPr>
              <w:t>)</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15,50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16,40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16,90</w:t>
            </w:r>
          </w:p>
        </w:tc>
        <w:tc>
          <w:tcPr>
            <w:tcW w:w="103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17,2</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17,70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16,30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18,90</w:t>
            </w:r>
          </w:p>
        </w:tc>
        <w:tc>
          <w:tcPr>
            <w:tcW w:w="1034"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20,30</w:t>
            </w:r>
          </w:p>
        </w:tc>
      </w:tr>
    </w:tbl>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Порівняння загального споживання пального приватним та комерційним транспортом у 2017 та 2024 роках наведено у таблиці Д2.</w:t>
      </w:r>
      <w:r>
        <w:rPr>
          <w:rFonts w:eastAsia="NSimSun" w:cs="Times New Roman" w:ascii="Times New Roman" w:hAnsi="Times New Roman"/>
          <w:color w:val="000000"/>
          <w:kern w:val="2"/>
          <w:sz w:val="24"/>
          <w:szCs w:val="24"/>
          <w:shd w:fill="FFFFFF" w:val="clear"/>
          <w:lang w:val="en-US" w:eastAsia="zh-CN" w:bidi="hi-IN"/>
        </w:rPr>
        <w:t>49</w:t>
      </w:r>
      <w:r>
        <w:rPr>
          <w:rFonts w:eastAsia="NSimSun" w:cs="Times New Roman" w:ascii="Times New Roman" w:hAnsi="Times New Roman"/>
          <w:color w:val="000000"/>
          <w:kern w:val="2"/>
          <w:sz w:val="24"/>
          <w:szCs w:val="24"/>
          <w:shd w:fill="FFFFFF" w:val="clear"/>
          <w:lang w:eastAsia="zh-CN" w:bidi="hi-IN"/>
        </w:rPr>
        <w:t xml:space="preserve">. та на рисунку Д2.31., вказує на зростання об’єму споживання по всіх видах транспорту. Це корелюється із загальноукраїнськими даними про зростання кількості транспорту у вказаному часовому діапазоні. </w:t>
      </w:r>
    </w:p>
    <w:p>
      <w:pPr>
        <w:pStyle w:val="Normal"/>
        <w:spacing w:before="0" w:after="0"/>
        <w:ind w:firstLine="510"/>
        <w:jc w:val="center"/>
        <w:rPr/>
      </w:pPr>
      <w:r>
        <w:rPr>
          <w:rFonts w:eastAsia="NSimSun" w:cs="Times New Roman" w:ascii="Times New Roman" w:hAnsi="Times New Roman"/>
          <w:color w:val="000000"/>
          <w:kern w:val="2"/>
          <w:sz w:val="24"/>
          <w:szCs w:val="24"/>
          <w:shd w:fill="FFFFFF" w:val="clear"/>
          <w:lang w:eastAsia="zh-CN" w:bidi="hi-IN"/>
        </w:rPr>
        <w:t>Таблиця Д2.</w:t>
      </w:r>
      <w:r>
        <w:rPr>
          <w:rFonts w:eastAsia="NSimSun" w:cs="Times New Roman" w:ascii="Times New Roman" w:hAnsi="Times New Roman"/>
          <w:color w:val="000000"/>
          <w:kern w:val="2"/>
          <w:sz w:val="24"/>
          <w:szCs w:val="24"/>
          <w:shd w:fill="FFFFFF" w:val="clear"/>
          <w:lang w:val="en-US" w:eastAsia="zh-CN" w:bidi="hi-IN"/>
        </w:rPr>
        <w:t>46</w:t>
      </w:r>
      <w:r>
        <w:rPr>
          <w:rFonts w:eastAsia="NSimSun" w:cs="Times New Roman" w:ascii="Times New Roman" w:hAnsi="Times New Roman"/>
          <w:color w:val="000000"/>
          <w:kern w:val="2"/>
          <w:sz w:val="24"/>
          <w:szCs w:val="24"/>
          <w:shd w:fill="FFFFFF" w:val="clear"/>
          <w:lang w:eastAsia="zh-CN" w:bidi="hi-IN"/>
        </w:rPr>
        <w:t>. Загальне споживання палива приватним та комерційним транспортом в 2017 та 2024 роках (</w:t>
      </w:r>
      <w:r>
        <w:rPr>
          <w:rFonts w:eastAsia="Microsoft Sans Serif" w:cs="Times New Roman" w:ascii="Times New Roman" w:hAnsi="Times New Roman"/>
          <w:color w:val="000000"/>
          <w:kern w:val="2"/>
          <w:shd w:fill="FFFFFF" w:val="clear"/>
        </w:rPr>
        <w:t>МВт∙год</w:t>
      </w:r>
      <w:r>
        <w:rPr>
          <w:rFonts w:eastAsia="NSimSun" w:cs="Times New Roman" w:ascii="Times New Roman" w:hAnsi="Times New Roman"/>
          <w:color w:val="000000"/>
          <w:kern w:val="2"/>
          <w:sz w:val="24"/>
          <w:szCs w:val="24"/>
          <w:shd w:fill="FFFFFF" w:val="clear"/>
          <w:lang w:eastAsia="zh-CN" w:bidi="hi-IN"/>
        </w:rPr>
        <w:t>)</w:t>
      </w:r>
    </w:p>
    <w:tbl>
      <w:tblPr>
        <w:tblW w:w="9743"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1440"/>
        <w:gridCol w:w="1046"/>
        <w:gridCol w:w="1037"/>
        <w:gridCol w:w="1034"/>
        <w:gridCol w:w="1040"/>
        <w:gridCol w:w="1037"/>
        <w:gridCol w:w="1034"/>
        <w:gridCol w:w="1051"/>
        <w:gridCol w:w="1023"/>
      </w:tblGrid>
      <w:tr>
        <w:trPr/>
        <w:tc>
          <w:tcPr>
            <w:tcW w:w="144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Вид палива</w:t>
            </w:r>
          </w:p>
        </w:tc>
        <w:tc>
          <w:tcPr>
            <w:tcW w:w="1046"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1037"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104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1037"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103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1051"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102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144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Електроенергія</w:t>
            </w:r>
          </w:p>
        </w:tc>
        <w:tc>
          <w:tcPr>
            <w:tcW w:w="1046"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753,0</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792,6</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817,1</w:t>
            </w:r>
          </w:p>
        </w:tc>
        <w:tc>
          <w:tcPr>
            <w:tcW w:w="1040"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833,8</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858,8</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790,1</w:t>
            </w:r>
          </w:p>
        </w:tc>
        <w:tc>
          <w:tcPr>
            <w:tcW w:w="105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916,5</w:t>
            </w:r>
          </w:p>
        </w:tc>
        <w:tc>
          <w:tcPr>
            <w:tcW w:w="1023"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992,2</w:t>
            </w:r>
          </w:p>
        </w:tc>
      </w:tr>
      <w:tr>
        <w:trPr/>
        <w:tc>
          <w:tcPr>
            <w:tcW w:w="144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Бензин</w:t>
            </w:r>
          </w:p>
        </w:tc>
        <w:tc>
          <w:tcPr>
            <w:tcW w:w="1046"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79810,2</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84010,8</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86609,0</w:t>
            </w:r>
          </w:p>
        </w:tc>
        <w:tc>
          <w:tcPr>
            <w:tcW w:w="1040"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88376,6</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91027,9</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83745,6</w:t>
            </w:r>
          </w:p>
        </w:tc>
        <w:tc>
          <w:tcPr>
            <w:tcW w:w="105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97145,0</w:t>
            </w:r>
          </w:p>
        </w:tc>
        <w:tc>
          <w:tcPr>
            <w:tcW w:w="1023"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104284,4</w:t>
            </w:r>
          </w:p>
        </w:tc>
      </w:tr>
      <w:tr>
        <w:trPr/>
        <w:tc>
          <w:tcPr>
            <w:tcW w:w="144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Дизельне пальне</w:t>
            </w:r>
          </w:p>
        </w:tc>
        <w:tc>
          <w:tcPr>
            <w:tcW w:w="1046"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93294,9</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98205,1</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101242,4</w:t>
            </w:r>
          </w:p>
        </w:tc>
        <w:tc>
          <w:tcPr>
            <w:tcW w:w="1040"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103308,6</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106407,8</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97895,2</w:t>
            </w:r>
          </w:p>
        </w:tc>
        <w:tc>
          <w:tcPr>
            <w:tcW w:w="105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113558,5</w:t>
            </w:r>
          </w:p>
        </w:tc>
        <w:tc>
          <w:tcPr>
            <w:tcW w:w="1023"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121904,1</w:t>
            </w:r>
          </w:p>
        </w:tc>
      </w:tr>
      <w:tr>
        <w:trPr/>
        <w:tc>
          <w:tcPr>
            <w:tcW w:w="144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CNG (Метан)</w:t>
            </w:r>
          </w:p>
        </w:tc>
        <w:tc>
          <w:tcPr>
            <w:tcW w:w="1046"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3943,7</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4151,3</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4279,6</w:t>
            </w:r>
          </w:p>
        </w:tc>
        <w:tc>
          <w:tcPr>
            <w:tcW w:w="1040"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4367,0</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4498,0</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4138,2</w:t>
            </w:r>
          </w:p>
        </w:tc>
        <w:tc>
          <w:tcPr>
            <w:tcW w:w="105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4800,3</w:t>
            </w:r>
          </w:p>
        </w:tc>
        <w:tc>
          <w:tcPr>
            <w:tcW w:w="1023"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5153,0</w:t>
            </w:r>
          </w:p>
        </w:tc>
      </w:tr>
      <w:tr>
        <w:trPr/>
        <w:tc>
          <w:tcPr>
            <w:tcW w:w="144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LPG (Пропан-Бутан)</w:t>
            </w:r>
          </w:p>
        </w:tc>
        <w:tc>
          <w:tcPr>
            <w:tcW w:w="1046"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108,2</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113,9</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117,4</w:t>
            </w:r>
          </w:p>
        </w:tc>
        <w:tc>
          <w:tcPr>
            <w:tcW w:w="1040"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119,8</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123,4</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113,5</w:t>
            </w:r>
          </w:p>
        </w:tc>
        <w:tc>
          <w:tcPr>
            <w:tcW w:w="1051" w:type="dxa"/>
            <w:tcBorders>
              <w:start w:val="single" w:sz="4" w:space="0" w:color="000000"/>
              <w:bottom w:val="single" w:sz="4" w:space="0" w:color="000000"/>
            </w:tcBorders>
          </w:tcPr>
          <w:p>
            <w:pPr>
              <w:pStyle w:val="Style25"/>
              <w:spacing w:before="0" w:after="0"/>
              <w:jc w:val="center"/>
              <w:rPr/>
            </w:pPr>
            <w:r>
              <w:rPr>
                <w:rFonts w:ascii="Times New Roman" w:hAnsi="Times New Roman"/>
                <w:color w:val="000000"/>
                <w:sz w:val="20"/>
                <w:szCs w:val="20"/>
              </w:rPr>
              <w:t>131,7</w:t>
            </w:r>
          </w:p>
        </w:tc>
        <w:tc>
          <w:tcPr>
            <w:tcW w:w="1023"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color w:val="000000"/>
                <w:sz w:val="20"/>
                <w:szCs w:val="20"/>
              </w:rPr>
              <w:t>141,4</w:t>
            </w:r>
          </w:p>
        </w:tc>
      </w:tr>
      <w:tr>
        <w:trPr/>
        <w:tc>
          <w:tcPr>
            <w:tcW w:w="1440" w:type="dxa"/>
            <w:tcBorders>
              <w:start w:val="single" w:sz="4" w:space="0" w:color="000000"/>
              <w:bottom w:val="single" w:sz="4" w:space="0" w:color="000000"/>
            </w:tcBorders>
          </w:tcPr>
          <w:p>
            <w:pPr>
              <w:pStyle w:val="Style25"/>
              <w:spacing w:lineRule="auto" w:line="240" w:before="0" w:after="0"/>
              <w:jc w:val="center"/>
              <w:rPr/>
            </w:pPr>
            <w:r>
              <w:rPr>
                <w:rFonts w:ascii="Times New Roman" w:hAnsi="Times New Roman"/>
                <w:sz w:val="20"/>
                <w:szCs w:val="20"/>
              </w:rPr>
              <w:t>Всього</w:t>
            </w:r>
          </w:p>
        </w:tc>
        <w:tc>
          <w:tcPr>
            <w:tcW w:w="1046"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177910,0</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187273,7</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193065,5</w:t>
            </w:r>
          </w:p>
        </w:tc>
        <w:tc>
          <w:tcPr>
            <w:tcW w:w="1040"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197005,8</w:t>
            </w:r>
          </w:p>
        </w:tc>
        <w:tc>
          <w:tcPr>
            <w:tcW w:w="1037"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202915,9</w:t>
            </w:r>
          </w:p>
        </w:tc>
        <w:tc>
          <w:tcPr>
            <w:tcW w:w="1034"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186682,6</w:t>
            </w:r>
          </w:p>
        </w:tc>
        <w:tc>
          <w:tcPr>
            <w:tcW w:w="1051" w:type="dxa"/>
            <w:tcBorders>
              <w:start w:val="single" w:sz="4" w:space="0" w:color="000000"/>
              <w:bottom w:val="single" w:sz="4" w:space="0" w:color="000000"/>
            </w:tcBorders>
          </w:tcPr>
          <w:p>
            <w:pPr>
              <w:pStyle w:val="Style25"/>
              <w:spacing w:before="0" w:after="0"/>
              <w:jc w:val="center"/>
              <w:rPr/>
            </w:pPr>
            <w:r>
              <w:rPr>
                <w:rFonts w:ascii="Times New Roman" w:hAnsi="Times New Roman"/>
                <w:sz w:val="20"/>
                <w:szCs w:val="20"/>
              </w:rPr>
              <w:t>216552,0</w:t>
            </w:r>
          </w:p>
        </w:tc>
        <w:tc>
          <w:tcPr>
            <w:tcW w:w="1023" w:type="dxa"/>
            <w:tcBorders>
              <w:start w:val="single" w:sz="4" w:space="0" w:color="000000"/>
              <w:bottom w:val="single" w:sz="4" w:space="0" w:color="000000"/>
              <w:end w:val="single" w:sz="4" w:space="0" w:color="000000"/>
            </w:tcBorders>
          </w:tcPr>
          <w:p>
            <w:pPr>
              <w:pStyle w:val="Style25"/>
              <w:spacing w:before="0" w:after="0"/>
              <w:jc w:val="center"/>
              <w:rPr/>
            </w:pPr>
            <w:r>
              <w:rPr>
                <w:rFonts w:ascii="Times New Roman" w:hAnsi="Times New Roman"/>
                <w:sz w:val="20"/>
                <w:szCs w:val="20"/>
              </w:rPr>
              <w:t>232475,1</w:t>
            </w:r>
          </w:p>
        </w:tc>
      </w:tr>
    </w:tbl>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Загальне споживання пального у порівнянні 2017 та 2024 року зросло на 31 %.</w:t>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4252595" cy="2392680"/>
            <wp:effectExtent l="0" t="0" r="0" b="0"/>
            <wp:wrapSquare wrapText="largest"/>
            <wp:docPr id="59" name="Об'єкт42" descr="" title=""/>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anchor>
        </w:drawing>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both"/>
        <w:rPr>
          <w:rFonts w:ascii="Times New Roman" w:hAnsi="Times New Roman" w:eastAsia="NSimSun" w:cs="Times New Roman"/>
          <w:kern w:val="2"/>
          <w:sz w:val="24"/>
          <w:szCs w:val="24"/>
          <w:lang w:eastAsia="zh-CN" w:bidi="hi-IN"/>
        </w:rPr>
      </w:pPr>
      <w:r>
        <w:rPr>
          <w:rFonts w:eastAsia="NSimSun" w:cs="Times New Roman" w:ascii="Times New Roman" w:hAnsi="Times New Roman"/>
          <w:kern w:val="2"/>
          <w:sz w:val="24"/>
          <w:szCs w:val="24"/>
          <w:lang w:eastAsia="zh-CN" w:bidi="hi-IN"/>
        </w:rPr>
      </w:r>
    </w:p>
    <w:p>
      <w:pPr>
        <w:pStyle w:val="Normal"/>
        <w:spacing w:before="0" w:after="0"/>
        <w:ind w:firstLine="51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1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ind w:firstLine="51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jc w:val="center"/>
        <w:rPr>
          <w:rFonts w:ascii="Times New Roman" w:hAnsi="Times New Roman" w:eastAsia="NSimSun" w:cs="Times New Roman"/>
          <w:color w:val="000000"/>
          <w:kern w:val="2"/>
          <w:sz w:val="24"/>
          <w:szCs w:val="24"/>
          <w:shd w:fill="FFFFFF" w:val="clear"/>
          <w:lang w:eastAsia="zh-CN" w:bidi="hi-IN"/>
        </w:rPr>
      </w:pPr>
      <w:r>
        <w:rPr>
          <w:rFonts w:eastAsia="NSimSun" w:cs="Times New Roman" w:ascii="Times New Roman" w:hAnsi="Times New Roman"/>
          <w:color w:val="000000"/>
          <w:kern w:val="2"/>
          <w:sz w:val="24"/>
          <w:szCs w:val="24"/>
          <w:shd w:fill="FFFFFF" w:val="clear"/>
          <w:lang w:eastAsia="zh-CN" w:bidi="hi-I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eastAsia="NSimSun" w:cs="Times New Roman" w:ascii="Times New Roman" w:hAnsi="Times New Roman"/>
          <w:color w:val="000000"/>
          <w:kern w:val="2"/>
          <w:sz w:val="24"/>
          <w:szCs w:val="24"/>
          <w:shd w:fill="FFFFFF" w:val="clear"/>
          <w:lang w:eastAsia="zh-CN" w:bidi="hi-IN"/>
        </w:rPr>
        <w:t xml:space="preserve">Рисунок Д2.31. Споживання пального приватним та комерційним транспортом </w:t>
      </w:r>
    </w:p>
    <w:p>
      <w:pPr>
        <w:pStyle w:val="Normal"/>
        <w:spacing w:before="0" w:after="0"/>
        <w:ind w:firstLine="567"/>
        <w:jc w:val="both"/>
        <w:rPr>
          <w:rFonts w:ascii="Times New Roman" w:hAnsi="Times New Roman"/>
          <w:sz w:val="24"/>
          <w:szCs w:val="24"/>
        </w:rPr>
      </w:pPr>
      <w:r>
        <w:rPr>
          <w:rFonts w:ascii="Times New Roman" w:hAnsi="Times New Roman"/>
          <w:sz w:val="24"/>
          <w:szCs w:val="24"/>
        </w:rPr>
      </w:r>
    </w:p>
    <w:p>
      <w:pPr>
        <w:pStyle w:val="Normal"/>
        <w:spacing w:before="0" w:after="0"/>
        <w:ind w:firstLine="567"/>
        <w:jc w:val="both"/>
        <w:rPr/>
      </w:pPr>
      <w:r>
        <w:rPr>
          <w:rFonts w:cs="Times New Roman" w:ascii="Times New Roman" w:hAnsi="Times New Roman"/>
          <w:b/>
          <w:bCs/>
          <w:sz w:val="24"/>
          <w:szCs w:val="24"/>
        </w:rPr>
        <w:t>Д2.3.13. </w:t>
      </w:r>
      <w:r>
        <w:rPr>
          <w:rFonts w:eastAsia="NSimSun" w:cs="Times New Roman" w:ascii="Times New Roman" w:hAnsi="Times New Roman"/>
          <w:b/>
          <w:bCs/>
          <w:color w:val="000000"/>
          <w:kern w:val="2"/>
          <w:sz w:val="24"/>
          <w:szCs w:val="24"/>
          <w:shd w:fill="FFFFFF" w:val="clear"/>
          <w:lang w:eastAsia="zh-CN" w:bidi="hi-IN"/>
        </w:rPr>
        <w:t>Потенціал використання відновлювальних джерел енергії</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 xml:space="preserve">Підвищення самозабезпечення </w:t>
      </w:r>
      <w:r>
        <w:rPr>
          <w:rFonts w:eastAsia="NSimSun" w:cs="Times New Roman" w:ascii="Times New Roman" w:hAnsi="Times New Roman"/>
          <w:kern w:val="2"/>
          <w:sz w:val="24"/>
          <w:szCs w:val="24"/>
          <w:shd w:fill="FFFFFF" w:val="clear"/>
          <w:lang w:eastAsia="zh-CN" w:bidi="hi-IN"/>
        </w:rPr>
        <w:t>Луцької МТГ шляхом</w:t>
      </w:r>
      <w:r>
        <w:rPr>
          <w:rFonts w:eastAsia="NSimSun" w:cs="Times New Roman" w:ascii="Times New Roman" w:hAnsi="Times New Roman"/>
          <w:kern w:val="2"/>
          <w:sz w:val="24"/>
          <w:szCs w:val="24"/>
          <w:lang w:eastAsia="zh-CN" w:bidi="hi-IN"/>
        </w:rPr>
        <w:t xml:space="preserve"> впровадження технологій з використанням відновлювальних джерел енергії та альтернативних видів палива значною мірою відповідає необхідності зменшення залежності громади від використання викопних видів палива.</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Для задоволення потреб громади необхідно звернути увагу на наступні сучасні технології: </w:t>
      </w:r>
      <w:r>
        <w:rPr>
          <w:rFonts w:eastAsia="Microsoft Sans Serif" w:cs="Times New Roman" w:ascii="Times New Roman" w:hAnsi="Times New Roman"/>
          <w:kern w:val="2"/>
          <w:sz w:val="24"/>
          <w:szCs w:val="24"/>
        </w:rPr>
        <w:t>біопаливо, сонячна енергетика, вітрова енергетика, теплові насоси та вторинна енергія, використання ВДЕ в транспорті, біогазові станції.</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Біопаливо</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Біоенергетичні технології, які забезпечують потреби опалення, можуть бути когенераційними, генерувати водночас як тепло, так і електроенергію. Відновлюваними джерелами енергії з біопалива є деревина (дрова, пелети, тріска), відходи промислового та сільськогосподарського виробництв, біогаз, енергетичні рослини. Паливо з твердих побутових відходів (RDF – refuse-derived fuel, SRF – solid recovered fuel) не є відновлюваним джерелом енергії, але переробка сміття і виробництво енергії з біогазу на сміттєзвалищах є важливим елементом циркуляційної економіки і повинно розглядатися, як потенційне джерело енергії.</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Наша громада знаходиться на території Волинського полісся та має в своєму складі підприємства, що здійснюють діяльність у лісовому господарстві: ДП «Волинський військовий лісгосп», ДП «Ківерцівське лісове господарство» та КП «Парки та сквери м. Луцька». Загальна площа лісового фонду вказаних підприємств</w:t>
      </w:r>
      <w:r>
        <w:rPr>
          <w:rFonts w:eastAsia="NSimSun" w:cs="Times New Roman" w:ascii="Times New Roman" w:hAnsi="Times New Roman"/>
          <w:kern w:val="2"/>
          <w:sz w:val="24"/>
          <w:szCs w:val="24"/>
          <w:lang w:eastAsia="zh-CN" w:bidi="hi-IN"/>
        </w:rPr>
        <w:t xml:space="preserve"> складає понад 3,44 тис. га. Місцевими відновлювальними ресурсами для Луцької МТГ у першу чергу є деревне паливо – дрова, щепа, відходи лісового та деревообробного господарства, відходи від обрізання деревних насаджень. </w:t>
      </w:r>
    </w:p>
    <w:p>
      <w:pPr>
        <w:pStyle w:val="Normal"/>
        <w:widowControl w:val="false"/>
        <w:spacing w:before="0" w:after="0"/>
        <w:ind w:firstLine="567"/>
        <w:jc w:val="both"/>
        <w:rPr/>
      </w:pPr>
      <w:r>
        <w:rPr>
          <w:rFonts w:eastAsia="NSimSun" w:cs="Times New Roman" w:ascii="Times New Roman" w:hAnsi="Times New Roman"/>
          <w:color w:val="000000"/>
          <w:kern w:val="2"/>
          <w:sz w:val="24"/>
          <w:szCs w:val="24"/>
          <w:lang w:eastAsia="zh-CN" w:bidi="hi-IN"/>
        </w:rPr>
        <w:t xml:space="preserve">Волинь має найбагатші в Україні поклади торфу. Торф хоч і не є відновлювальним видом палива, все ж використовується, як альтернативне паливо. </w:t>
      </w:r>
    </w:p>
    <w:p>
      <w:pPr>
        <w:pStyle w:val="Normal"/>
        <w:widowControl w:val="false"/>
        <w:spacing w:before="0" w:after="0"/>
        <w:ind w:firstLine="567"/>
        <w:jc w:val="both"/>
        <w:rPr/>
      </w:pPr>
      <w:r>
        <w:rPr>
          <w:rFonts w:eastAsia="NSimSun" w:cs="Times New Roman" w:ascii="Times New Roman" w:hAnsi="Times New Roman"/>
          <w:color w:val="000000"/>
          <w:kern w:val="2"/>
          <w:sz w:val="24"/>
          <w:szCs w:val="24"/>
          <w:lang w:eastAsia="zh-CN" w:bidi="hi-IN"/>
        </w:rPr>
        <w:t>Згідно з геологічними даними, 21 % усіх запасів цієї копалини в Україні – саме в надрах Волинської області. Видобувають і переробляють його два підприємства – комунальне «Волиньприродресурс» і державне «Волиньторф».</w:t>
      </w:r>
    </w:p>
    <w:p>
      <w:pPr>
        <w:pStyle w:val="Normal"/>
        <w:widowControl w:val="false"/>
        <w:spacing w:before="0" w:after="0"/>
        <w:ind w:firstLine="567"/>
        <w:jc w:val="both"/>
        <w:rPr/>
      </w:pPr>
      <w:r>
        <w:rPr>
          <w:rFonts w:eastAsia="NSimSun" w:cs="Times New Roman" w:ascii="Times New Roman" w:hAnsi="Times New Roman"/>
          <w:color w:val="000000"/>
          <w:kern w:val="2"/>
          <w:sz w:val="24"/>
          <w:szCs w:val="24"/>
          <w:lang w:eastAsia="zh-CN" w:bidi="hi-IN"/>
        </w:rPr>
        <w:t>Паливо виготовляють на заводах у Маневичах та селі Прилісне Камінь-Каширського району.</w:t>
      </w:r>
      <w:r>
        <w:rPr>
          <w:rFonts w:eastAsia="NSimSun" w:cs="Times New Roman" w:ascii="Times New Roman" w:hAnsi="Times New Roman"/>
          <w:kern w:val="2"/>
          <w:sz w:val="24"/>
          <w:szCs w:val="24"/>
          <w:lang w:eastAsia="zh-CN" w:bidi="hi-IN"/>
        </w:rPr>
        <w:t xml:space="preserve"> </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 xml:space="preserve">На території Луцької МТГ потенційними споживачами торфу можуть бути муніципальні будівлі, третинний сектор, приватні будівлі житлового сектору та промисловість. </w:t>
      </w:r>
    </w:p>
    <w:p>
      <w:pPr>
        <w:pStyle w:val="Normal"/>
        <w:widowControl w:val="false"/>
        <w:spacing w:before="0" w:after="0"/>
        <w:ind w:firstLine="567"/>
        <w:jc w:val="both"/>
        <w:rPr/>
      </w:pPr>
      <w:r>
        <w:rPr>
          <w:rFonts w:eastAsia="NSimSun" w:cs="Times New Roman" w:ascii="Times New Roman" w:hAnsi="Times New Roman"/>
          <w:kern w:val="2"/>
          <w:sz w:val="24"/>
          <w:szCs w:val="24"/>
          <w:lang w:eastAsia="zh-CN" w:bidi="hi-IN"/>
        </w:rPr>
        <w:t>Сонячна та вітрова енергетика</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Попри те, що Луцька МТГ знаходиться на північному заході України, ще одним</w:t>
      </w:r>
      <w:r>
        <w:rPr>
          <w:rFonts w:eastAsia="NSimSun" w:cs="Times New Roman" w:ascii="Times New Roman" w:hAnsi="Times New Roman"/>
          <w:color w:val="FF0000"/>
          <w:kern w:val="2"/>
          <w:sz w:val="24"/>
          <w:szCs w:val="24"/>
          <w:shd w:fill="FFFFFF" w:val="clear"/>
          <w:lang w:eastAsia="zh-CN" w:bidi="hi-IN"/>
        </w:rPr>
        <w:t xml:space="preserve"> </w:t>
      </w:r>
      <w:r>
        <w:rPr>
          <w:rFonts w:eastAsia="NSimSun" w:cs="Times New Roman" w:ascii="Times New Roman" w:hAnsi="Times New Roman"/>
          <w:kern w:val="2"/>
          <w:sz w:val="24"/>
          <w:szCs w:val="24"/>
          <w:shd w:fill="FFFFFF" w:val="clear"/>
          <w:lang w:eastAsia="zh-CN" w:bidi="hi-IN"/>
        </w:rPr>
        <w:t>потужним та безпечним видом відновлювальної енергії зі значним потенціалом до використання є сонячне випромінювання. Побудова сонячних станцій та введення в побутову експлуатацію геліосистем та геліоколекторів надає можливості для виробництва електроенергії та нагрівання води в системах опалення та гарячого водопостачання.</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У Луцькій МТГ існують можливості встановлення сонячних станцій як на поверхні землі на придатних ділянках промислової зони, на приватних ділянках, так і на покрівлях гром</w:t>
      </w:r>
      <w:r>
        <w:rPr>
          <w:rFonts w:eastAsia="NSimSun" w:cs="Times New Roman" w:ascii="Times New Roman" w:hAnsi="Times New Roman"/>
          <w:kern w:val="2"/>
          <w:sz w:val="24"/>
          <w:szCs w:val="24"/>
          <w:lang w:eastAsia="zh-CN" w:bidi="hi-IN"/>
        </w:rPr>
        <w:t>адських та житлових будинків.</w:t>
      </w:r>
    </w:p>
    <w:p>
      <w:pPr>
        <w:pStyle w:val="Normal"/>
        <w:spacing w:before="0" w:after="0"/>
        <w:ind w:firstLine="567"/>
        <w:jc w:val="both"/>
        <w:rPr/>
      </w:pPr>
      <w:r>
        <w:rPr>
          <w:rFonts w:eastAsia="NSimSun" w:cs="Times New Roman" w:ascii="Times New Roman" w:hAnsi="Times New Roman"/>
          <w:color w:val="000000"/>
          <w:kern w:val="2"/>
          <w:sz w:val="24"/>
          <w:szCs w:val="24"/>
          <w:lang w:eastAsia="zh-CN" w:bidi="hi-IN"/>
        </w:rPr>
        <w:t xml:space="preserve">В таблиці </w:t>
      </w:r>
      <w:r>
        <w:rPr>
          <w:rFonts w:eastAsia="NSimSun" w:cs="Times New Roman" w:ascii="Times New Roman" w:hAnsi="Times New Roman"/>
          <w:color w:val="000000"/>
          <w:kern w:val="2"/>
          <w:sz w:val="24"/>
          <w:szCs w:val="24"/>
          <w:shd w:fill="FFFFFF" w:val="clear"/>
          <w:lang w:eastAsia="zh-CN" w:bidi="hi-IN"/>
        </w:rPr>
        <w:t>Д2.5</w:t>
      </w:r>
      <w:r>
        <w:rPr>
          <w:rFonts w:eastAsia="NSimSun" w:cs="Times New Roman" w:ascii="Times New Roman" w:hAnsi="Times New Roman"/>
          <w:color w:val="000000"/>
          <w:kern w:val="2"/>
          <w:sz w:val="24"/>
          <w:szCs w:val="24"/>
          <w:shd w:fill="FFFFFF" w:val="clear"/>
          <w:lang w:val="en-US" w:eastAsia="zh-CN" w:bidi="hi-IN"/>
        </w:rPr>
        <w:t>0</w:t>
      </w:r>
      <w:r>
        <w:rPr>
          <w:rFonts w:eastAsia="NSimSun" w:cs="Times New Roman" w:ascii="Times New Roman" w:hAnsi="Times New Roman"/>
          <w:color w:val="000000"/>
          <w:kern w:val="2"/>
          <w:sz w:val="24"/>
          <w:szCs w:val="24"/>
          <w:lang w:eastAsia="zh-CN" w:bidi="hi-IN"/>
        </w:rPr>
        <w:t>. наведено інформацію щодо кількості СЕС та ВЕС на території Луцької МТГ, їх сумарну встановлену потужність та обсяги електроенергії, що надані в загальну мережу.</w:t>
      </w:r>
    </w:p>
    <w:p>
      <w:pPr>
        <w:pStyle w:val="Normal"/>
        <w:spacing w:lineRule="auto" w:line="240" w:before="0" w:after="0"/>
        <w:ind w:firstLine="567"/>
        <w:jc w:val="center"/>
        <w:rPr/>
      </w:pPr>
      <w:r>
        <w:rPr>
          <w:rFonts w:eastAsia="NSimSun" w:cs="Times New Roman" w:ascii="Times New Roman" w:hAnsi="Times New Roman"/>
          <w:color w:val="000000"/>
          <w:kern w:val="2"/>
          <w:sz w:val="24"/>
          <w:szCs w:val="24"/>
          <w:lang w:eastAsia="zh-CN" w:bidi="hi-IN"/>
        </w:rPr>
        <w:t xml:space="preserve">Таблиця </w:t>
      </w:r>
      <w:r>
        <w:rPr>
          <w:rFonts w:eastAsia="NSimSun" w:cs="Times New Roman" w:ascii="Times New Roman" w:hAnsi="Times New Roman"/>
          <w:color w:val="000000"/>
          <w:kern w:val="2"/>
          <w:sz w:val="24"/>
          <w:szCs w:val="24"/>
          <w:shd w:fill="FFFFFF" w:val="clear"/>
          <w:lang w:eastAsia="zh-CN" w:bidi="hi-IN"/>
        </w:rPr>
        <w:t>Д2.47</w:t>
      </w:r>
      <w:r>
        <w:rPr>
          <w:rFonts w:eastAsia="NSimSun" w:cs="Times New Roman" w:ascii="Times New Roman" w:hAnsi="Times New Roman"/>
          <w:color w:val="000000"/>
          <w:kern w:val="2"/>
          <w:sz w:val="24"/>
          <w:szCs w:val="24"/>
          <w:lang w:eastAsia="zh-CN" w:bidi="hi-IN"/>
        </w:rPr>
        <w:t xml:space="preserve">.  Інформація щодо кількості діючих СЕС та ВЕС </w:t>
      </w:r>
    </w:p>
    <w:tbl>
      <w:tblPr>
        <w:tblW w:w="9741" w:type="dxa"/>
        <w:jc w:val="start"/>
        <w:tblInd w:w="113" w:type="dxa"/>
        <w:tblLayout w:type="fixed"/>
        <w:tblCellMar>
          <w:top w:w="55" w:type="dxa"/>
          <w:start w:w="108" w:type="dxa"/>
          <w:bottom w:w="55" w:type="dxa"/>
          <w:end w:w="108" w:type="dxa"/>
        </w:tblCellMar>
        <w:tblLook w:firstRow="1" w:noVBand="1" w:lastRow="0" w:firstColumn="1" w:lastColumn="0" w:noHBand="0" w:val="04a0"/>
      </w:tblPr>
      <w:tblGrid>
        <w:gridCol w:w="3607"/>
        <w:gridCol w:w="764"/>
        <w:gridCol w:w="770"/>
        <w:gridCol w:w="764"/>
        <w:gridCol w:w="767"/>
        <w:gridCol w:w="774"/>
        <w:gridCol w:w="760"/>
        <w:gridCol w:w="690"/>
        <w:gridCol w:w="844"/>
      </w:tblGrid>
      <w:tr>
        <w:trPr/>
        <w:tc>
          <w:tcPr>
            <w:tcW w:w="3607"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Показник</w:t>
            </w:r>
          </w:p>
        </w:tc>
        <w:tc>
          <w:tcPr>
            <w:tcW w:w="76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2017</w:t>
            </w:r>
          </w:p>
        </w:tc>
        <w:tc>
          <w:tcPr>
            <w:tcW w:w="77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2018</w:t>
            </w:r>
          </w:p>
        </w:tc>
        <w:tc>
          <w:tcPr>
            <w:tcW w:w="76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2019</w:t>
            </w:r>
          </w:p>
        </w:tc>
        <w:tc>
          <w:tcPr>
            <w:tcW w:w="767"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2020</w:t>
            </w:r>
          </w:p>
        </w:tc>
        <w:tc>
          <w:tcPr>
            <w:tcW w:w="774"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2021</w:t>
            </w:r>
          </w:p>
        </w:tc>
        <w:tc>
          <w:tcPr>
            <w:tcW w:w="76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2022</w:t>
            </w:r>
          </w:p>
        </w:tc>
        <w:tc>
          <w:tcPr>
            <w:tcW w:w="690" w:type="dxa"/>
            <w:tcBorders>
              <w:top w:val="single" w:sz="4" w:space="0" w:color="000000"/>
              <w:start w:val="single" w:sz="4" w:space="0" w:color="000000"/>
              <w:bottom w:val="single" w:sz="4" w:space="0" w:color="000000"/>
            </w:tcBorders>
          </w:tcPr>
          <w:p>
            <w:pPr>
              <w:pStyle w:val="Normal"/>
              <w:spacing w:lineRule="auto" w:line="240" w:before="0" w:after="0"/>
              <w:jc w:val="center"/>
              <w:rPr/>
            </w:pPr>
            <w:r>
              <w:rPr>
                <w:rFonts w:ascii="Times New Roman" w:hAnsi="Times New Roman"/>
                <w:sz w:val="20"/>
                <w:szCs w:val="20"/>
              </w:rPr>
              <w:t>2023</w:t>
            </w:r>
          </w:p>
        </w:tc>
        <w:tc>
          <w:tcPr>
            <w:tcW w:w="844"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jc w:val="center"/>
              <w:rPr/>
            </w:pPr>
            <w:r>
              <w:rPr>
                <w:rFonts w:ascii="Times New Roman" w:hAnsi="Times New Roman"/>
                <w:sz w:val="20"/>
                <w:szCs w:val="20"/>
              </w:rPr>
              <w:t>2024</w:t>
            </w:r>
          </w:p>
        </w:tc>
      </w:tr>
      <w:tr>
        <w:trPr/>
        <w:tc>
          <w:tcPr>
            <w:tcW w:w="9740" w:type="dxa"/>
            <w:gridSpan w:val="9"/>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ascii="Times New Roman" w:hAnsi="Times New Roman"/>
                <w:sz w:val="20"/>
                <w:szCs w:val="20"/>
              </w:rPr>
              <w:t>Населення</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Кількість сонячних станцій</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10</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45</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53</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133</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146</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170</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267</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Сумарна встановлена потужність генерації СЕС, МВт</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0,201</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0,611</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0,905</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1,471</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3,281</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3,616</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4,339</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6,15</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Сумарний річний обсяг електроенергії СЕС, що наданий у загальну мережу, МВт.год.</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237</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593</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888</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2786</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3405</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3253</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5629,3</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Кількість ВЕС</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Сумарна встановлена потужність генерації ВЕС, МВт</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0,02</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0,02</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0,02</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0,02</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0,02</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0,02</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Сумарний річний обсяг електроенергії ВЕС приватних осіб, що наданий у загальну мережу, МВт.год.</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9740" w:type="dxa"/>
            <w:gridSpan w:val="9"/>
            <w:tcBorders>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pPr>
            <w:r>
              <w:rPr>
                <w:rFonts w:ascii="Times New Roman" w:hAnsi="Times New Roman"/>
                <w:sz w:val="20"/>
                <w:szCs w:val="20"/>
              </w:rPr>
              <w:t>Юридичні особи</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 xml:space="preserve">Кількість комерційних сонячних станцій </w:t>
              <w:br/>
              <w:t>(під управлінням юридичних осіб)</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w:t>
            </w:r>
          </w:p>
        </w:tc>
      </w:tr>
      <w:tr>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Сумарна встановлена потужність генерації СЕС, МВт</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0,08</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0,33</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0,33</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0,33</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0,33</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0,33</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1,05</w:t>
            </w:r>
          </w:p>
        </w:tc>
      </w:tr>
      <w:tr>
        <w:trPr>
          <w:trHeight w:val="399" w:hRule="atLeast"/>
        </w:trPr>
        <w:tc>
          <w:tcPr>
            <w:tcW w:w="3607" w:type="dxa"/>
            <w:tcBorders>
              <w:start w:val="single" w:sz="4" w:space="0" w:color="000000"/>
              <w:bottom w:val="single" w:sz="4" w:space="0" w:color="000000"/>
            </w:tcBorders>
          </w:tcPr>
          <w:p>
            <w:pPr>
              <w:pStyle w:val="Normal"/>
              <w:spacing w:lineRule="auto" w:line="240" w:before="0" w:after="0"/>
              <w:rPr/>
            </w:pPr>
            <w:r>
              <w:rPr>
                <w:rFonts w:ascii="Times New Roman" w:hAnsi="Times New Roman"/>
                <w:sz w:val="20"/>
                <w:szCs w:val="20"/>
              </w:rPr>
              <w:t>Сумарний річний обсяг електроенергії СЕС, що наданий у загальну мережу, МВт.год.</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77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850</w:t>
            </w:r>
          </w:p>
        </w:tc>
        <w:tc>
          <w:tcPr>
            <w:tcW w:w="7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1496</w:t>
            </w:r>
          </w:p>
        </w:tc>
        <w:tc>
          <w:tcPr>
            <w:tcW w:w="76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1773</w:t>
            </w:r>
          </w:p>
        </w:tc>
        <w:tc>
          <w:tcPr>
            <w:tcW w:w="77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1768</w:t>
            </w:r>
          </w:p>
        </w:tc>
        <w:tc>
          <w:tcPr>
            <w:tcW w:w="76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1673</w:t>
            </w:r>
          </w:p>
        </w:tc>
        <w:tc>
          <w:tcPr>
            <w:tcW w:w="690"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1863</w:t>
            </w:r>
          </w:p>
        </w:tc>
        <w:tc>
          <w:tcPr>
            <w:tcW w:w="844"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1682,4</w:t>
            </w:r>
          </w:p>
        </w:tc>
      </w:tr>
    </w:tbl>
    <w:p>
      <w:pPr>
        <w:pStyle w:val="Normal"/>
        <w:spacing w:before="0" w:after="0"/>
        <w:ind w:firstLine="567"/>
        <w:jc w:val="both"/>
        <w:rPr/>
      </w:pPr>
      <w:r>
        <w:rPr>
          <w:rFonts w:eastAsia="NSimSun" w:cs="Times New Roman" w:ascii="Times New Roman" w:hAnsi="Times New Roman"/>
          <w:kern w:val="2"/>
          <w:sz w:val="24"/>
          <w:szCs w:val="24"/>
          <w:lang w:eastAsia="zh-CN" w:bidi="hi-IN"/>
        </w:rPr>
        <w:t>З</w:t>
      </w:r>
      <w:r>
        <w:rPr>
          <w:rFonts w:eastAsia="NSimSun" w:cs="Times New Roman" w:ascii="Times New Roman" w:hAnsi="Times New Roman"/>
          <w:kern w:val="2"/>
          <w:sz w:val="24"/>
          <w:szCs w:val="24"/>
          <w:shd w:fill="FFFFFF" w:val="clear"/>
          <w:lang w:eastAsia="zh-CN" w:bidi="hi-IN"/>
        </w:rPr>
        <w:t>гідно з результатами дослідження потенціал Луцької МТГ для вітрової енергетики оцінюється, як незначний на період до 2030 року. Генерація нерівномірна впродовж року і не приваблює інвесторів комерційних ВЕС великої потужності. Проте після 2030 року потенціал вітрової генерації зростатиме згідно з очікуваннями посилення вітрів впродовж року внаслідок зміни клімату. Також за десятиріччя очікується здешевлення вітрогенеруючих технологій та росту їх ефективності.</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На відміну від СЕС вітрові електростанції потребу</w:t>
      </w:r>
      <w:r>
        <w:rPr>
          <w:rFonts w:eastAsia="NSimSun" w:cs="Times New Roman" w:ascii="Times New Roman" w:hAnsi="Times New Roman"/>
          <w:kern w:val="2"/>
          <w:sz w:val="24"/>
          <w:szCs w:val="24"/>
          <w:lang w:eastAsia="zh-CN" w:bidi="hi-IN"/>
        </w:rPr>
        <w:t>ють суттєво менше земельної площі для безпосереднього розміщення вітрогенеруючих установок (близько 500 м</w:t>
      </w:r>
      <w:r>
        <w:rPr>
          <w:rFonts w:eastAsia="NSimSun" w:cs="Times New Roman" w:ascii="Times New Roman" w:hAnsi="Times New Roman"/>
          <w:kern w:val="2"/>
          <w:sz w:val="24"/>
          <w:szCs w:val="24"/>
          <w:vertAlign w:val="superscript"/>
          <w:lang w:eastAsia="zh-CN" w:bidi="hi-IN"/>
        </w:rPr>
        <w:t>2</w:t>
      </w:r>
      <w:r>
        <w:rPr>
          <w:rFonts w:eastAsia="NSimSun" w:cs="Times New Roman" w:ascii="Times New Roman" w:hAnsi="Times New Roman"/>
          <w:kern w:val="2"/>
          <w:sz w:val="24"/>
          <w:szCs w:val="24"/>
          <w:lang w:eastAsia="zh-CN" w:bidi="hi-IN"/>
        </w:rPr>
        <w:t xml:space="preserve"> на одну установку), хоча й можуть простягатися на багато кілометрів. Завдяки цьому ділянки для вітрогенераторів та прокладання електричних мереж можуть знаходитися посеред ділянок з іншим цільовим призначенням, наприклад, для вирощування сільськогосподарської продукції.</w:t>
      </w:r>
    </w:p>
    <w:p>
      <w:pPr>
        <w:pStyle w:val="Normal"/>
        <w:widowControl w:val="false"/>
        <w:spacing w:before="0" w:after="0"/>
        <w:ind w:firstLine="709"/>
        <w:jc w:val="both"/>
        <w:rPr/>
      </w:pPr>
      <w:r>
        <w:rPr>
          <w:rFonts w:eastAsia="NSimSun" w:cs="Times New Roman" w:ascii="Times New Roman" w:hAnsi="Times New Roman"/>
          <w:kern w:val="2"/>
          <w:sz w:val="24"/>
          <w:szCs w:val="24"/>
          <w:lang w:eastAsia="zh-CN" w:bidi="hi-IN"/>
        </w:rPr>
        <w:t>Теплові насоси та вторинна енергія</w:t>
      </w:r>
    </w:p>
    <w:p>
      <w:pPr>
        <w:pStyle w:val="Normal"/>
        <w:widowControl w:val="false"/>
        <w:spacing w:before="0" w:after="0"/>
        <w:ind w:firstLine="709"/>
        <w:jc w:val="both"/>
        <w:rPr/>
      </w:pPr>
      <w:r>
        <w:rPr>
          <w:rFonts w:eastAsia="NSimSun" w:cs="Times New Roman" w:ascii="Times New Roman" w:hAnsi="Times New Roman"/>
          <w:kern w:val="2"/>
          <w:sz w:val="24"/>
          <w:szCs w:val="24"/>
          <w:lang w:eastAsia="zh-CN" w:bidi="hi-IN"/>
        </w:rPr>
        <w:t xml:space="preserve">Одним із варіантів розв’язання проблем стабільного теплопостачання може стати використання низькопотенційної енергії природного та техногенного походження через впровадження теплових насосів, які «забираючи» з ґрунту, повітря, води озера чи річки низькопотенційну теплоту, перетворюють її в енергію здатну нагрівати воду для обігріву приміщень і гарячого водопостачання. </w:t>
      </w:r>
    </w:p>
    <w:p>
      <w:pPr>
        <w:pStyle w:val="Normal"/>
        <w:widowControl w:val="false"/>
        <w:spacing w:before="0" w:after="0"/>
        <w:ind w:firstLine="624"/>
        <w:jc w:val="both"/>
        <w:rPr/>
      </w:pPr>
      <w:r>
        <w:rPr>
          <w:rFonts w:eastAsia="NSimSun" w:cs="Times New Roman" w:ascii="Times New Roman" w:hAnsi="Times New Roman"/>
          <w:kern w:val="2"/>
          <w:sz w:val="24"/>
          <w:szCs w:val="24"/>
          <w:lang w:eastAsia="zh-CN" w:bidi="hi-IN"/>
        </w:rPr>
        <w:t>Крім того, джерелами низькопотенційної скидної теплоти техногенного походження є вентиляційні викиди та охолоджуюча вода технологічного та енергетичного обладнання підприємств, промислові, комунально-побутові стоки. Досвід провідних Європейських країн засвідчує, що найбільш ефективним є використання теплової енергії стічних вод.</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Одним із позитивних прикладів використання теплових насосів є</w:t>
      </w:r>
      <w:r>
        <w:rPr>
          <w:rFonts w:eastAsia="NSimSun" w:cs="Times New Roman" w:ascii="Times New Roman" w:hAnsi="Times New Roman"/>
          <w:kern w:val="2"/>
          <w:sz w:val="24"/>
          <w:szCs w:val="24"/>
          <w:shd w:fill="FFFFFF" w:val="clear"/>
          <w:lang w:val="en-US" w:eastAsia="zh-CN" w:bidi="hi-IN"/>
        </w:rPr>
        <w:t xml:space="preserve"> </w:t>
      </w:r>
      <w:r>
        <w:rPr>
          <w:rFonts w:eastAsia="NSimSun" w:cs="Times New Roman" w:ascii="Times New Roman" w:hAnsi="Times New Roman"/>
          <w:kern w:val="2"/>
          <w:sz w:val="24"/>
          <w:szCs w:val="24"/>
          <w:shd w:fill="FFFFFF" w:val="clear"/>
          <w:lang w:eastAsia="zh-CN" w:bidi="hi-IN"/>
        </w:rPr>
        <w:t>запуск у 2016 році в Луцькій МТГ в  центральному басейні за адресою: просп. Президента Грушевського, 2а, що належить КЗ «Спеціалізована дитячо-юнацька спортивна школа олімпійського резерву плавання Луцької міської ради» 3 теплових насосів «MYCOND» MCU030 (рисунок Д2.33.), потужністю 96 МВт, витрати міського бюджету громади склали 1,5 млн грн. Орієнтовна економія енергоресурсів щороку становить понад 50 %.</w:t>
      </w:r>
    </w:p>
    <w:p>
      <w:pPr>
        <w:pStyle w:val="Normal"/>
        <w:widowControl w:val="false"/>
        <w:spacing w:before="0" w:after="0"/>
        <w:jc w:val="center"/>
        <w:rPr/>
      </w:pPr>
      <w:r>
        <w:drawing>
          <wp:anchor behindDoc="0" distT="0" distB="0" distL="0" distR="0" simplePos="0" locked="0" layoutInCell="0" allowOverlap="1" relativeHeight="2">
            <wp:simplePos x="0" y="0"/>
            <wp:positionH relativeFrom="column">
              <wp:posOffset>43815</wp:posOffset>
            </wp:positionH>
            <wp:positionV relativeFrom="paragraph">
              <wp:posOffset>4445</wp:posOffset>
            </wp:positionV>
            <wp:extent cx="2893060" cy="1771650"/>
            <wp:effectExtent l="0" t="0" r="0" b="0"/>
            <wp:wrapSquare wrapText="largest"/>
            <wp:docPr id="60" name="Зображення1 Copy 2 копія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Зображення1 Copy 2 копія 1" descr="" title=""/>
                    <pic:cNvPicPr>
                      <a:picLocks noChangeAspect="1" noChangeArrowheads="1"/>
                    </pic:cNvPicPr>
                  </pic:nvPicPr>
                  <pic:blipFill>
                    <a:blip r:embed="rId96"/>
                    <a:stretch>
                      <a:fillRect/>
                    </a:stretch>
                  </pic:blipFill>
                  <pic:spPr bwMode="auto">
                    <a:xfrm>
                      <a:off x="0" y="0"/>
                      <a:ext cx="2893060" cy="1771650"/>
                    </a:xfrm>
                    <a:prstGeom prst="rect">
                      <a:avLst/>
                    </a:prstGeom>
                  </pic:spPr>
                </pic:pic>
              </a:graphicData>
            </a:graphic>
          </wp:anchor>
        </w:drawing>
        <w:drawing>
          <wp:anchor behindDoc="0" distT="0" distB="0" distL="0" distR="0" simplePos="0" locked="0" layoutInCell="0" allowOverlap="1" relativeHeight="3">
            <wp:simplePos x="0" y="0"/>
            <wp:positionH relativeFrom="column">
              <wp:posOffset>2936240</wp:posOffset>
            </wp:positionH>
            <wp:positionV relativeFrom="paragraph">
              <wp:posOffset>4445</wp:posOffset>
            </wp:positionV>
            <wp:extent cx="2999740" cy="1771650"/>
            <wp:effectExtent l="0" t="0" r="0" b="0"/>
            <wp:wrapSquare wrapText="largest"/>
            <wp:docPr id="61" name="Зображення2 Copy 2 копія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Зображення2 Copy 2 копія 1" descr="" title=""/>
                    <pic:cNvPicPr>
                      <a:picLocks noChangeAspect="1" noChangeArrowheads="1"/>
                    </pic:cNvPicPr>
                  </pic:nvPicPr>
                  <pic:blipFill>
                    <a:blip r:embed="rId97"/>
                    <a:stretch>
                      <a:fillRect/>
                    </a:stretch>
                  </pic:blipFill>
                  <pic:spPr bwMode="auto">
                    <a:xfrm>
                      <a:off x="0" y="0"/>
                      <a:ext cx="2999740" cy="1771650"/>
                    </a:xfrm>
                    <a:prstGeom prst="rect">
                      <a:avLst/>
                    </a:prstGeom>
                  </pic:spPr>
                </pic:pic>
              </a:graphicData>
            </a:graphic>
          </wp:anchor>
        </w:drawing>
      </w:r>
      <w:r>
        <w:rPr>
          <w:rFonts w:eastAsia="NSimSun" w:cs="Times New Roman" w:ascii="Times New Roman" w:hAnsi="Times New Roman"/>
          <w:kern w:val="2"/>
          <w:sz w:val="24"/>
          <w:szCs w:val="24"/>
          <w:lang w:eastAsia="zh-CN" w:bidi="hi-IN"/>
        </w:rPr>
        <w:t>Рисунок </w:t>
      </w:r>
      <w:r>
        <w:rPr>
          <w:rFonts w:eastAsia="NSimSun" w:cs="Times New Roman" w:ascii="Times New Roman" w:hAnsi="Times New Roman"/>
          <w:color w:val="000000"/>
          <w:kern w:val="2"/>
          <w:sz w:val="24"/>
          <w:szCs w:val="24"/>
          <w:shd w:fill="FFFFFF" w:val="clear"/>
          <w:lang w:eastAsia="zh-CN" w:bidi="hi-IN"/>
        </w:rPr>
        <w:t>Д2.33</w:t>
      </w:r>
      <w:r>
        <w:rPr>
          <w:rFonts w:eastAsia="NSimSun" w:cs="Times New Roman" w:ascii="Times New Roman" w:hAnsi="Times New Roman"/>
          <w:kern w:val="2"/>
          <w:sz w:val="24"/>
          <w:szCs w:val="24"/>
          <w:lang w:eastAsia="zh-CN" w:bidi="hi-IN"/>
        </w:rPr>
        <w:t xml:space="preserve">. Встановлені теплові насоси в центральному басейні </w:t>
      </w:r>
    </w:p>
    <w:p>
      <w:pPr>
        <w:pStyle w:val="Normal"/>
        <w:spacing w:before="0" w:after="0"/>
        <w:ind w:firstLine="567"/>
        <w:jc w:val="both"/>
        <w:rPr/>
      </w:pPr>
      <w:r>
        <w:rPr>
          <w:rFonts w:cs="Times New Roman" w:ascii="Times New Roman" w:hAnsi="Times New Roman"/>
          <w:sz w:val="24"/>
          <w:szCs w:val="24"/>
          <w:shd w:fill="FFFFFF" w:val="clear"/>
        </w:rPr>
        <w:t>У 18 закладах освіти Луцької міської територіальної громади встановлено теплові насоси системи «повітря – вода» для систем ТП та ГВП. Встановлення здійснено в рамках ЕСКО-контрактів.</w:t>
      </w:r>
    </w:p>
    <w:p>
      <w:pPr>
        <w:pStyle w:val="Normal"/>
        <w:spacing w:before="0" w:after="0"/>
        <w:ind w:firstLine="567"/>
        <w:jc w:val="both"/>
        <w:rPr/>
      </w:pPr>
      <w:r>
        <w:rPr>
          <w:rFonts w:cs="Times New Roman" w:ascii="Times New Roman" w:hAnsi="Times New Roman"/>
          <w:sz w:val="24"/>
          <w:szCs w:val="24"/>
        </w:rPr>
        <w:t xml:space="preserve">Перспективним в м. Луцьку в найближчому майбутньому є також використання теплових насосів у житловому фонді. Зокрема, є розроблені техніко-економічні обґрунтування «Встановлення теплового насосу в центральному тепловому пункті за адресою м. Луцьк, вул. Задворецька, 15», якими передбачено встановлення теплових насосів типу «повітря-вода» сумарною тепловою потужністю 210 кВт. </w:t>
      </w:r>
    </w:p>
    <w:p>
      <w:pPr>
        <w:pStyle w:val="Normal"/>
        <w:spacing w:before="0" w:after="0"/>
        <w:ind w:firstLine="567"/>
        <w:jc w:val="both"/>
        <w:rPr/>
      </w:pPr>
      <w:r>
        <w:rPr>
          <w:rFonts w:cs="Times New Roman" w:ascii="Times New Roman" w:hAnsi="Times New Roman"/>
          <w:sz w:val="24"/>
          <w:szCs w:val="24"/>
        </w:rPr>
        <w:t>Також, можливо розглянути  встановлення теплових насосів для ЦТП (теплообмінники, призначені для відбору теплової енергії із зовнішнього середовища (повітря).</w:t>
      </w:r>
    </w:p>
    <w:p>
      <w:pPr>
        <w:pStyle w:val="Normal"/>
        <w:spacing w:before="0" w:after="0"/>
        <w:ind w:firstLine="567"/>
        <w:jc w:val="both"/>
        <w:rPr/>
      </w:pPr>
      <w:r>
        <w:rPr>
          <w:rFonts w:cs="Times New Roman" w:ascii="Times New Roman" w:hAnsi="Times New Roman"/>
          <w:sz w:val="24"/>
          <w:szCs w:val="24"/>
          <w:shd w:fill="FFFFFF" w:val="clear"/>
        </w:rPr>
        <w:t>Разом з цим, в м. Луцьку відбувається поступове переведення частини виробництва теплової енергії для ГВП у будівлях, які забезпечуються тепловою енергією від ЦТП, що є економічно доцільним за умови ринкових тарифів на газ та електричну енергію. Потужність теплового насосу і об’єм теплоакумулюючих баків було прийнято таким чином, щоб забезпечити безперебійну роботу теплового насосу, що дає можливість мінімізувати строки окупності проєкту. Об’єм баків вибирався з огляду на можливість їх розміщення всередині наявної будівлі ЦТП. Впровадження цього проєкту, згідно з розрахунками, дозволяє замістити для ЦТП орієнтовно 44 % поточного споживання теплової енергії на ГВП в опалювальний період, та орієнтовно 74 % в неопалювальний.</w:t>
      </w:r>
    </w:p>
    <w:p>
      <w:pPr>
        <w:pStyle w:val="Normal"/>
        <w:widowControl w:val="false"/>
        <w:spacing w:before="0" w:after="0"/>
        <w:ind w:firstLine="567"/>
        <w:jc w:val="both"/>
        <w:rPr/>
      </w:pPr>
      <w:r>
        <w:rPr>
          <w:rFonts w:eastAsia="NSimSun" w:cs="Times New Roman" w:ascii="Times New Roman" w:hAnsi="Times New Roman"/>
          <w:kern w:val="2"/>
          <w:sz w:val="24"/>
          <w:szCs w:val="24"/>
          <w:shd w:fill="FFFFFF" w:val="clear"/>
          <w:lang w:eastAsia="zh-CN" w:bidi="hi-IN"/>
        </w:rPr>
        <w:t>Використання ВДЕ в транспорті.</w:t>
      </w:r>
    </w:p>
    <w:p>
      <w:pPr>
        <w:pStyle w:val="Normal"/>
        <w:spacing w:before="0" w:after="0"/>
        <w:ind w:firstLine="567"/>
        <w:jc w:val="both"/>
        <w:rPr/>
      </w:pPr>
      <w:r>
        <w:rPr>
          <w:rFonts w:eastAsia="NSimSun" w:cs="Times New Roman" w:ascii="Times New Roman" w:hAnsi="Times New Roman"/>
          <w:kern w:val="2"/>
          <w:sz w:val="24"/>
          <w:szCs w:val="24"/>
          <w:shd w:fill="FFFFFF" w:val="clear"/>
          <w:lang w:eastAsia="zh-CN" w:bidi="hi-IN"/>
        </w:rPr>
        <w:t>З метою удосконалення транспортної інфраструктури Луцької МТГ можливо розглянути питання щодо збільшення кількості громадського транспорту та зменшення використання особистого в межах завантажених автошляхів на території громади. Адже в секторі громадського транспорту значно легше запровадити перехід на ВДЕ.</w:t>
      </w:r>
    </w:p>
    <w:p>
      <w:pPr>
        <w:pStyle w:val="Normal"/>
        <w:spacing w:before="0" w:after="0"/>
        <w:ind w:firstLine="567"/>
        <w:jc w:val="both"/>
        <w:rPr/>
      </w:pPr>
      <w:r>
        <w:rPr>
          <w:rFonts w:eastAsia="NSimSun" w:cs="Times New Roman" w:ascii="Times New Roman" w:hAnsi="Times New Roman"/>
          <w:kern w:val="2"/>
          <w:sz w:val="24"/>
          <w:szCs w:val="24"/>
          <w:lang w:eastAsia="zh-CN" w:bidi="hi-IN"/>
        </w:rPr>
        <w:t xml:space="preserve">Сьогодні на території громади переважно використовуються автомобілі з двигуном внутрішнього згоряння, що споживають бензин, дизель і скраплений нафтовий газ або стиснений природний газ. Частка перевезень легковими електромобілями не перевищує 15%. Проте, доля транспорту на електродвигунах поступово зростає та до 2030 року кількість електротранспорту буде збільшуватися. </w:t>
      </w:r>
    </w:p>
    <w:p>
      <w:pPr>
        <w:pStyle w:val="Normal"/>
        <w:spacing w:before="0" w:after="0"/>
        <w:ind w:firstLine="567"/>
        <w:jc w:val="both"/>
        <w:rPr/>
      </w:pPr>
      <w:r>
        <w:rPr>
          <w:rFonts w:eastAsia="NSimSun" w:cs="Times New Roman" w:ascii="Times New Roman" w:hAnsi="Times New Roman"/>
          <w:kern w:val="2"/>
          <w:sz w:val="24"/>
          <w:szCs w:val="24"/>
          <w:lang w:eastAsia="zh-CN" w:bidi="hi-IN"/>
        </w:rPr>
        <w:t>Декарбонізація у сфері транспорту відбувається шляхом витіснення авто з двигуном внутрішнього згоряння електричними авто, електробусами та вантажівками на біопаливі. Електромобілі володіють майже втричі вищою ефективністю перетворення енергії, ніж вдосконалені авто з двигунами внутрішнього згоряння. Щільність енергії в їх акумуляторах, а відповідно – і дальність руху на одній зарядці в майбутньому буде суттєво зростати (хоча для переміщень в межах невеликого міста це не є визначальним фактором), тому електричний транспорт з акумуляторними батареями зможе задовольнити потреби громади. За таких припущень, загальне споживання енергії в секторі транспорту зменшиться на 35-40 %.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Біогазові станції.</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Громада має декілька варіантів для використання біогазових станцій з метою виробництва електроенергії та біогазу – це біогазові станції на полігоні ТПВ, на міських очисних спорудах та на агропромислових господарствах громади.</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Станція дегазації на полігоні ТПВ</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Основна частина побутових відходів Луцька та навколишніх старостинських округів вивозиться на полігон ТПВ у с. Брище, що знаходиться у північній частині громади, за 11 кілометрів від Луцька. Площа полігону ТПВ становить понад 86 га.</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З 2017 року на полігоні ТПВ в с. Брище працює станція дегазації. Загальна потужність станції складе 330 кВт/год.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 xml:space="preserve">З маси сміття під час розкладання органічних відходів утворюються вогненебезпечний газ метан та інші шкідливі гази. Але завдяки станції дегазації звалищний газ, замість того, щоб потрапляти в навколишнє середовище утилізується у двигуні внутрішнього згорання. На станції встановлено австрійське обладнання Jenbacher, яке використовується в біогазових проєктах по всій Європі. </w:t>
      </w:r>
    </w:p>
    <w:p>
      <w:pPr>
        <w:pStyle w:val="Normal"/>
        <w:spacing w:before="0" w:after="0"/>
        <w:ind w:firstLine="567"/>
        <w:jc w:val="both"/>
        <w:rPr/>
      </w:pPr>
      <w:r>
        <w:rPr>
          <w:rFonts w:eastAsia="NSimSun" w:cs="Times New Roman" w:ascii="Times New Roman" w:hAnsi="Times New Roman"/>
          <w:color w:val="000000"/>
          <w:kern w:val="2"/>
          <w:sz w:val="24"/>
          <w:szCs w:val="24"/>
          <w:shd w:fill="FFFFFF" w:val="clear"/>
          <w:lang w:eastAsia="zh-CN" w:bidi="hi-IN"/>
        </w:rPr>
        <w:t>Станція сприяє скороченню шкідливих викидів у атмосферу, запобігає виникненню пожеж на полігоні, покращує екологічний стан.</w:t>
      </w:r>
    </w:p>
    <w:p>
      <w:pPr>
        <w:pStyle w:val="Normal"/>
        <w:spacing w:before="0" w:after="0"/>
        <w:ind w:firstLine="567"/>
        <w:jc w:val="both"/>
        <w:rPr/>
      </w:pPr>
      <w:r>
        <w:rPr>
          <w:rFonts w:cs="Times New Roman" w:ascii="Times New Roman" w:hAnsi="Times New Roman"/>
          <w:sz w:val="24"/>
          <w:szCs w:val="24"/>
        </w:rPr>
        <w:t xml:space="preserve">Біогазова установка на очисних спорудах </w:t>
      </w:r>
    </w:p>
    <w:p>
      <w:pPr>
        <w:pStyle w:val="Normal"/>
        <w:spacing w:before="0" w:after="0"/>
        <w:ind w:firstLine="567"/>
        <w:jc w:val="both"/>
        <w:rPr/>
      </w:pPr>
      <w:r>
        <w:rPr>
          <w:rFonts w:cs="Times New Roman" w:ascii="Times New Roman" w:hAnsi="Times New Roman"/>
          <w:sz w:val="24"/>
          <w:szCs w:val="24"/>
          <w:shd w:fill="FFFFFF" w:val="clear"/>
        </w:rPr>
        <w:t xml:space="preserve">З метою вдосконалення та модернізації міських очисних споруд, як одного з пріоритетних завдань Луцької МТГ, планується на очисних спорудах КП «Луцькводоканал» встановлення біогазової установки для компенсації власного споживання електричної енергії з комплексом для виробництва з осаду стічних вод добрива органічного «LWC». </w:t>
      </w:r>
    </w:p>
    <w:p>
      <w:pPr>
        <w:pStyle w:val="Normal"/>
        <w:spacing w:before="0" w:after="0"/>
        <w:ind w:firstLine="567"/>
        <w:jc w:val="both"/>
        <w:rPr/>
      </w:pPr>
      <w:r>
        <w:rPr>
          <w:rFonts w:cs="Times New Roman" w:ascii="Times New Roman" w:hAnsi="Times New Roman"/>
          <w:sz w:val="24"/>
          <w:szCs w:val="24"/>
        </w:rPr>
        <w:t>Виробництво електричної енергії даною установкою покриває понад 80 % від споживання об’єкта. Економія буде становити понад 5670 тис. кВт.год/рік. Використання біогазової установки зменшить викиди СО</w:t>
      </w:r>
      <w:r>
        <w:rPr>
          <w:rFonts w:cs="Times New Roman" w:ascii="Times New Roman" w:hAnsi="Times New Roman"/>
          <w:sz w:val="24"/>
          <w:szCs w:val="24"/>
          <w:vertAlign w:val="subscript"/>
        </w:rPr>
        <w:t>2</w:t>
      </w:r>
      <w:r>
        <w:rPr>
          <w:rFonts w:cs="Times New Roman" w:ascii="Times New Roman" w:hAnsi="Times New Roman"/>
          <w:sz w:val="24"/>
          <w:szCs w:val="24"/>
        </w:rPr>
        <w:t xml:space="preserve"> на 2 331 т/рік.</w:t>
      </w:r>
    </w:p>
    <w:p>
      <w:pPr>
        <w:pStyle w:val="111"/>
        <w:spacing w:before="0" w:after="0"/>
        <w:jc w:val="center"/>
        <w:rPr/>
      </w:pPr>
      <w:bookmarkStart w:id="87" w:name="__RefHeading___Toc27584_429042107"/>
      <w:bookmarkStart w:id="88" w:name="_Toc188020989"/>
      <w:bookmarkStart w:id="89" w:name="n451"/>
      <w:bookmarkEnd w:id="87"/>
      <w:bookmarkEnd w:id="89"/>
      <w:r>
        <w:rPr>
          <w:rFonts w:cs="Times New Roman" w:ascii="Times New Roman" w:hAnsi="Times New Roman"/>
          <w:b/>
          <w:bCs/>
          <w:color w:val="auto"/>
          <w:sz w:val="24"/>
          <w:szCs w:val="24"/>
        </w:rPr>
        <w:t>Додаток 3. Ключові енергетичні показники для виконання бенчмаркінгу</w:t>
      </w:r>
      <w:bookmarkEnd w:id="88"/>
    </w:p>
    <w:p>
      <w:pPr>
        <w:pStyle w:val="Normal"/>
        <w:spacing w:lineRule="auto" w:line="240" w:before="150" w:after="150"/>
        <w:ind w:start="450" w:end="450"/>
        <w:jc w:val="center"/>
        <w:rPr/>
      </w:pPr>
      <w:r>
        <w:rPr>
          <w:rFonts w:eastAsia="Times New Roman" w:cs="Times New Roman" w:ascii="Times New Roman" w:hAnsi="Times New Roman"/>
          <w:b/>
          <w:bCs/>
          <w:sz w:val="24"/>
          <w:szCs w:val="24"/>
          <w:lang w:eastAsia="uk-UA"/>
        </w:rPr>
        <w:t>Перелік</w:t>
      </w:r>
      <w:r>
        <w:rPr>
          <w:rFonts w:eastAsia="Times New Roman" w:cs="Times New Roman" w:ascii="Times New Roman" w:hAnsi="Times New Roman"/>
          <w:sz w:val="24"/>
          <w:szCs w:val="24"/>
          <w:lang w:eastAsia="uk-UA"/>
        </w:rPr>
        <w:br/>
      </w:r>
      <w:r>
        <w:rPr>
          <w:rFonts w:eastAsia="Times New Roman" w:cs="Times New Roman" w:ascii="Times New Roman" w:hAnsi="Times New Roman"/>
          <w:b/>
          <w:bCs/>
          <w:sz w:val="24"/>
          <w:szCs w:val="24"/>
          <w:lang w:eastAsia="uk-UA"/>
        </w:rPr>
        <w:t>ключових енергетичних показників для виконання бенчмаркінгу</w:t>
      </w:r>
    </w:p>
    <w:tbl>
      <w:tblPr>
        <w:tblW w:w="9479" w:type="dxa"/>
        <w:jc w:val="center"/>
        <w:tblInd w:w="0" w:type="dxa"/>
        <w:tblLayout w:type="fixed"/>
        <w:tblCellMar>
          <w:top w:w="55" w:type="dxa"/>
          <w:start w:w="55" w:type="dxa"/>
          <w:bottom w:w="55" w:type="dxa"/>
          <w:end w:w="55" w:type="dxa"/>
        </w:tblCellMar>
        <w:tblLook w:firstRow="1" w:noVBand="1" w:lastRow="0" w:firstColumn="1" w:lastColumn="0" w:noHBand="0" w:val="04a0"/>
      </w:tblPr>
      <w:tblGrid>
        <w:gridCol w:w="1016"/>
        <w:gridCol w:w="5703"/>
        <w:gridCol w:w="1507"/>
        <w:gridCol w:w="1252"/>
      </w:tblGrid>
      <w:tr>
        <w:trPr/>
        <w:tc>
          <w:tcPr>
            <w:tcW w:w="1016" w:type="dxa"/>
            <w:tcBorders>
              <w:top w:val="single" w:sz="4" w:space="0" w:color="000000"/>
              <w:start w:val="single" w:sz="4" w:space="0" w:color="000000"/>
              <w:bottom w:val="single" w:sz="4" w:space="0" w:color="000000"/>
            </w:tcBorders>
            <w:shd w:color="auto" w:fill="DDDDDD" w:val="clear"/>
            <w:vAlign w:val="center"/>
          </w:tcPr>
          <w:p>
            <w:pPr>
              <w:pStyle w:val="Normal"/>
              <w:spacing w:before="0" w:after="0"/>
              <w:jc w:val="center"/>
              <w:rPr/>
            </w:pPr>
            <w:r>
              <w:rPr>
                <w:rFonts w:ascii="Times New Roman" w:hAnsi="Times New Roman"/>
                <w:sz w:val="20"/>
                <w:szCs w:val="20"/>
              </w:rPr>
              <w:t>№</w:t>
            </w:r>
          </w:p>
        </w:tc>
        <w:tc>
          <w:tcPr>
            <w:tcW w:w="5703" w:type="dxa"/>
            <w:tcBorders>
              <w:top w:val="single" w:sz="4" w:space="0" w:color="000000"/>
              <w:start w:val="single" w:sz="4" w:space="0" w:color="000000"/>
              <w:bottom w:val="single" w:sz="4" w:space="0" w:color="000000"/>
            </w:tcBorders>
            <w:shd w:color="auto" w:fill="DDDDDD" w:val="clear"/>
            <w:vAlign w:val="center"/>
          </w:tcPr>
          <w:p>
            <w:pPr>
              <w:pStyle w:val="Normal"/>
              <w:spacing w:before="0" w:after="0"/>
              <w:jc w:val="center"/>
              <w:rPr/>
            </w:pPr>
            <w:r>
              <w:rPr>
                <w:rFonts w:ascii="Times New Roman" w:hAnsi="Times New Roman"/>
                <w:sz w:val="20"/>
                <w:szCs w:val="20"/>
              </w:rPr>
              <w:t>Ключові енергетичні показники</w:t>
            </w:r>
          </w:p>
        </w:tc>
        <w:tc>
          <w:tcPr>
            <w:tcW w:w="1507" w:type="dxa"/>
            <w:tcBorders>
              <w:top w:val="single" w:sz="4" w:space="0" w:color="000000"/>
              <w:start w:val="single" w:sz="4" w:space="0" w:color="000000"/>
              <w:bottom w:val="single" w:sz="4" w:space="0" w:color="000000"/>
            </w:tcBorders>
            <w:shd w:color="auto" w:fill="DDDDDD" w:val="clear"/>
            <w:vAlign w:val="center"/>
          </w:tcPr>
          <w:p>
            <w:pPr>
              <w:pStyle w:val="Normal"/>
              <w:spacing w:before="0" w:after="0"/>
              <w:jc w:val="center"/>
              <w:rPr/>
            </w:pPr>
            <w:r>
              <w:rPr>
                <w:rFonts w:ascii="Times New Roman" w:hAnsi="Times New Roman"/>
                <w:sz w:val="20"/>
                <w:szCs w:val="20"/>
              </w:rPr>
              <w:t>Одиниця вимірювання</w:t>
            </w:r>
          </w:p>
        </w:tc>
        <w:tc>
          <w:tcPr>
            <w:tcW w:w="1252" w:type="dxa"/>
            <w:tcBorders>
              <w:top w:val="single" w:sz="4" w:space="0" w:color="000000"/>
              <w:start w:val="single" w:sz="4" w:space="0" w:color="000000"/>
              <w:bottom w:val="single" w:sz="4" w:space="0" w:color="000000"/>
              <w:end w:val="single" w:sz="4" w:space="0" w:color="000000"/>
            </w:tcBorders>
            <w:shd w:color="auto" w:fill="DDDDDD" w:val="clear"/>
            <w:vAlign w:val="center"/>
          </w:tcPr>
          <w:p>
            <w:pPr>
              <w:pStyle w:val="Normal"/>
              <w:spacing w:before="0" w:after="0"/>
              <w:jc w:val="center"/>
              <w:rPr/>
            </w:pPr>
            <w:r>
              <w:rPr>
                <w:rFonts w:ascii="Times New Roman" w:hAnsi="Times New Roman"/>
                <w:sz w:val="20"/>
                <w:szCs w:val="20"/>
              </w:rPr>
              <w:t>Значення</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w:t>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Рік застосування показників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2024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Найменування області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Волинська</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Найменування територіальної громади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Луцька</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Характер рельєфу (вказати: рівнинний, горбистий, гірський)</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рівнинний</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Чисельність населення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осіб</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243482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Кількість домогосподарств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1</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Загальні дані</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Питома кількість штатних одиниць структурного підрозділу енергоменеджменту (енергоменеджерів) на 10000 населення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%00</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0,04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Відношення витрат з місцевого бюджету на оплату комунальних послуг та енергоносіїв до фактичних поточних видатків місцевого бюджету,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оплата теплопостачання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оплата водопостачання та водовідведення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оплата електроенергії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оплата природного газу</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оплата інших енергоносіїв та інших комунальних послуг</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оплата енергосервісу</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Загальне кінцеве споживання енергії на особу</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кВт·год/ос.</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9112,0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відновлювальної енергії в загальному кінцевому споживанні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0,3%</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2</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Громадські будівлі</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Структура громадських будівель, що фінансуються з місцевого бюджету (за загальною площею),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закладів дошкільної освіти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закладів освіти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закладів охорони здоров’я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закладів соціального захисту населення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інших бюджетних установ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громадських будівель, що фінансуються з місцевого бюджету, включених до системи енергетичного моніторингу (за загальною площею)</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громадських будівель, що фінансуються з місцевого бюджету, включених до системи автоматизованого збору інформації про споживання енергії (за загальною площею)</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громадських будівель, що фінансуються з місцевого бюджету, які мають дійсний енергетичний сертифікат (за загальною площею)</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термомодернізованих громадських будівель (за загальною площею)</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2.6</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громадських будівель з близьким до нульового рівня енергоспоживанням (за загальною площею)</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rHeight w:val="793" w:hRule="atLeast"/>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фактичне енергоспоживання при опаленні громадських будівель, що фінансуються з місцевого бюджету,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169,8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дошкільної освіти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207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освіти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107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охорони здоров’я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365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соціального захисту населення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105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інших бюджетних установ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141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w:t>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Питоме фактичне споживання електроенергії в громадських будівлях, що фінансуються з місцевого бюджету,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49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дошкільної освіти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75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освіти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охорони здоров’я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закладів соціального захисту населення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109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будівлі інших бюджетних установ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22</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Житлові будівлі</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домогосподарств у багатоквартирних будинках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Структура житлових будівель (за загальною площею),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одноквартирні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31,3%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двоквартирні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багатоквартирні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66,2%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для колективного проживання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фактичне енергоспоживання на опалення житлових будівель,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одноквартирні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220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двоквартирні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багатоквартирні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для колективного проживання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фактичне споживання електроенергії в житлових будівлях,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одноквартирні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двоквартирні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багатоквартирні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будівлі для колективного проживання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2</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житлових будівель з близьким до нульового рівня енергоспоживанням (за загальною площею)</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2,4%</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4</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Зовнішнє освітлення</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Структура системи зовнішнього освітлення (за кількістю світлоточок),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дорогах поза меж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29,6%</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вулицях, дорогах, площах в межах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67,9%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паркових зонах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інших зонах, ділянках, територіях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непрацюючих світлоточок,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200"/>
              <w:jc w:val="center"/>
              <w:rPr/>
            </w:pPr>
            <w:r>
              <w:rPr>
                <w:rFonts w:ascii="Times New Roman" w:hAnsi="Times New Roman"/>
                <w:color w:val="000000"/>
                <w:sz w:val="20"/>
                <w:szCs w:val="20"/>
              </w:rPr>
              <w:t>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дорогах поза меж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0,9%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вулицях, дорогах, площах в межах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2,0%</w:t>
            </w:r>
          </w:p>
        </w:tc>
      </w:tr>
      <w:tr>
        <w:trPr>
          <w:trHeight w:val="300" w:hRule="atLeast"/>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паркових зонах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Style25"/>
              <w:spacing w:lineRule="auto" w:line="240" w:before="0" w:after="0"/>
              <w:jc w:val="center"/>
              <w:rPr/>
            </w:pPr>
            <w:r>
              <w:rPr>
                <w:rFonts w:ascii="Times New Roman" w:hAnsi="Times New Roman"/>
                <w:color w:val="000000"/>
                <w:sz w:val="20"/>
                <w:szCs w:val="20"/>
              </w:rPr>
              <w:t>0,1%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інших зонах, ділянках, територіях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Питома електрична потужність однієї працюючої світлоточки,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Вт/од.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дорогах поза меж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Вт/од.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вулицях, дорогах, площах в межах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Вт/од.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паркових зонах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Вт/од.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інших зонах, ділянках, територіях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Вт/од.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річне споживання електричної енергії на роботу однієї працюючої світлоточки,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236</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дорогах поза меж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238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вулицях, дорогах, площах в межах населених пунктів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238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паркових зонах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1583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в інших зонах, ділянках, територіях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кВт·год/од.</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світлоточок оснащених світлодіодними джерелами світла (за загальною кількістю працюючих і непрацюючих світлоточок)</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26%</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5</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Сфера теплопостачання</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централізованого теплопостачання (за опалюваною площею будівель)</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домогосподарств, приєднаних до систем централізованого теплопостачання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87%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теплової енергії, виробленої з відновлювальних джерел енергії в системах централізованого теплопостачання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теплової енергії, виробленої з використанням скидної теплової енергії в системах централізованого теплопостачання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теплової енергії, виробленої в результаті комбінованого виробництва теплової та електричної енергії в системах централізованого теплопостачання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0,31%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5.6</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Питомі витрати умовного палива на виробництво теплової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кг у.п./Гкал</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165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5.7</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Питомі витрати електроенергії при виробництві теплової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кВт·год/Гкал</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Питомі витрати електроенергії на транспортування теплової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кВт·год/Гкал</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5.9</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втрати теплової енергії в теплових мережах</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21,9%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5.10</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багатоквартирних будинків, які приєднані до систем централізованого теплопостачання, оснащених індивідуальними тепловими пунктами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46,9%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багатоквартирних будинків, які приєднані до систем централізованого теплопостачання, оснащених вузлами комерційного обліку теплової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97%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багатоквартирних будинків, які приєднані до систем централізованого теплопостачання, оснащених вузлами комерційного обліку послуги з постачання гарячої води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багатоквартирних будинків, які приєднані до систем централізованого теплопостачання, оснащених вузлами розподільного обліку теплової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громадських будівель, які приєднані до систем централізованого теплопостачання, оснащених індивідуальними тепловими пунктами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громадських будівель, які приєднані до систем централізованого теплопостачання, оснащених вузлами комерційного обліку теплової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6</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Сфера водопостачання і водовідведення</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Структура системи питного водопостачання (за чисельністю населення),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централізованого</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нецентралізованого</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споживання електричної енергії на функціонування системи централізованого водопостачання,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0,469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виробництво (забір і фільтрацію) води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0,253</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транспортування води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0,216</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Лінійний коефіцієнт втрат води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тис.м</w:t>
            </w:r>
            <w:r>
              <w:rPr>
                <w:rFonts w:ascii="Times New Roman" w:hAnsi="Times New Roman"/>
                <w:sz w:val="20"/>
                <w:szCs w:val="20"/>
                <w:vertAlign w:val="superscript"/>
              </w:rPr>
              <w:t>3</w:t>
            </w:r>
            <w:r>
              <w:rPr>
                <w:rFonts w:ascii="Times New Roman" w:hAnsi="Times New Roman"/>
                <w:sz w:val="20"/>
                <w:szCs w:val="20"/>
              </w:rPr>
              <w:t>/км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0,201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виробничих витрат води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втрат води в мережах централізованого водопостачання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4,24</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6.6</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Структура системи водовідведення (за чисельністю населення),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централізованого</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67,7%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нецентралізованого</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6.7</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споживання електричної енергії на функціонування системи централізованого водовідведення,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0,512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збирання та транспортування стічних вод</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0,227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на очищення та скидання стічних вод</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0,285</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6.8</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утилізації осадів стічних вод (за об’ємом в абсолютно сухій речовині)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77%</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6.9</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Питомий обсяг виробництва теплової енергії на одиницю об’єму (в абсолютно сухій речовині) осадів стічних вод</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6.10</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Питомий обсяг виробництва електричної енергії на одиницю об’єму осадів стічних вод в абсолютно сухій речовині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кВт·год/м</w:t>
            </w:r>
            <w:r>
              <w:rPr>
                <w:rFonts w:ascii="Times New Roman" w:hAnsi="Times New Roman"/>
                <w:sz w:val="20"/>
                <w:szCs w:val="20"/>
                <w:vertAlign w:val="superscript"/>
              </w:rPr>
              <w:t>3</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7</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Сфера управління побутовими відходами</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населення, охоплена послугами з вивезення побутових відходів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37,2%</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роздільно зібраних побутових відходів (за вагою від зібраних відходів)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0,8%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рецикльованих (перероблених) побутових відходів (за вагою від зібраних відходів)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перероблених та утилізованих відходів,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спалено (термічно оброблено)</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потрапило на заготівельні пункти вторинної сировини та сміттєпереробні лінії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відновлених побутових відходів (за вагою від зібраних відходів),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з виробництвом теплової та/або електричної енергії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з виробництвом біогазу</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7.6</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Питомий обсяг виробництва теплової енергії на одиницю ваги термічно оброблених відходів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МДж/т</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7.7</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Питомий обсяг спалювання природного газу на одиницю ваги термічно оброблених відходів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МДж/т</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7.8</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Питомий обсяг виробництва електричної енергії на одиницю ваги термічно оброблених відходів</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МДж/т</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 xml:space="preserve"> </w:t>
            </w:r>
            <w:r>
              <w:rPr>
                <w:rFonts w:ascii="Times New Roman" w:hAnsi="Times New Roman"/>
                <w:sz w:val="20"/>
                <w:szCs w:val="20"/>
              </w:rPr>
              <w:t>-</w:t>
            </w:r>
          </w:p>
        </w:tc>
      </w:tr>
      <w:tr>
        <w:trPr/>
        <w:tc>
          <w:tcPr>
            <w:tcW w:w="1016"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8</w:t>
            </w:r>
          </w:p>
        </w:tc>
        <w:tc>
          <w:tcPr>
            <w:tcW w:w="5703"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pPr>
            <w:r>
              <w:rPr>
                <w:rFonts w:ascii="Times New Roman" w:hAnsi="Times New Roman"/>
                <w:sz w:val="20"/>
                <w:szCs w:val="20"/>
              </w:rPr>
              <w:t>Громадський транспорт</w:t>
            </w:r>
          </w:p>
        </w:tc>
        <w:tc>
          <w:tcPr>
            <w:tcW w:w="1507" w:type="dxa"/>
            <w:tcBorders>
              <w:start w:val="single" w:sz="4" w:space="0" w:color="000000"/>
              <w:bottom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1252" w:type="dxa"/>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8.1</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споживання енергії громадським транспортом на душу населення</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МДж/ос.</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574,8</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8.2</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споживання енергії громадським транспортом на одиницю пасажирообігу</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пасажирообігу громадського нерейкового транспорту,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100%</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тролейбуси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39%</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електроавтобуси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автобуси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61%</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8.4</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споживання енергії громадським нерейковим транспортом,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тролейбуси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електроавтобуси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автобуси</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8.5</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Частка пасажирообігу громадського рейкового транспорту,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метрополітен</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трамваї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інший електричний рейковий транспорт</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інший неелектричний рейковий транспорт</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8.6</w:t>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Питоме споживання енергії громадським рейковим транспортом, всього, у тому числі:</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метрополітен</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трамваї</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інший електричний рейковий транспорт</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r>
        <w:trPr/>
        <w:tc>
          <w:tcPr>
            <w:tcW w:w="1016" w:type="dxa"/>
            <w:tcBorders>
              <w:start w:val="single" w:sz="4" w:space="0" w:color="000000"/>
              <w:bottom w:val="single" w:sz="4" w:space="0" w:color="000000"/>
            </w:tcBorders>
            <w:vAlign w:val="center"/>
          </w:tcPr>
          <w:p>
            <w:pPr>
              <w:pStyle w:val="Normal"/>
              <w:spacing w:lineRule="auto" w:line="240" w:before="0" w:after="0"/>
              <w:jc w:val="center"/>
              <w:rPr>
                <w:rFonts w:ascii="Times New Roman" w:hAnsi="Times New Roman"/>
                <w:sz w:val="20"/>
                <w:szCs w:val="20"/>
              </w:rPr>
            </w:pPr>
            <w:r>
              <w:rPr>
                <w:rFonts w:ascii="Times New Roman" w:hAnsi="Times New Roman"/>
                <w:sz w:val="20"/>
                <w:szCs w:val="20"/>
              </w:rPr>
            </w:r>
          </w:p>
        </w:tc>
        <w:tc>
          <w:tcPr>
            <w:tcW w:w="5703"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інший неелектричний рейковий транспорт</w:t>
            </w:r>
          </w:p>
        </w:tc>
        <w:tc>
          <w:tcPr>
            <w:tcW w:w="1507"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МДж/(пас·км)</w:t>
            </w:r>
          </w:p>
        </w:tc>
        <w:tc>
          <w:tcPr>
            <w:tcW w:w="1252"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w:t>
            </w:r>
          </w:p>
        </w:tc>
      </w:tr>
    </w:tbl>
    <w:p>
      <w:pPr>
        <w:pStyle w:val="111"/>
        <w:ind w:firstLine="567"/>
        <w:rPr>
          <w:rFonts w:ascii="Times New Roman" w:hAnsi="Times New Roman"/>
          <w:sz w:val="24"/>
          <w:szCs w:val="24"/>
        </w:rPr>
      </w:pPr>
      <w:r>
        <w:rPr>
          <w:rFonts w:ascii="Times New Roman" w:hAnsi="Times New Roman"/>
          <w:sz w:val="24"/>
          <w:szCs w:val="24"/>
        </w:rPr>
      </w:r>
      <w:r>
        <w:br w:type="page"/>
      </w:r>
    </w:p>
    <w:p>
      <w:pPr>
        <w:pStyle w:val="111"/>
        <w:spacing w:before="0" w:after="0"/>
        <w:ind w:firstLine="567"/>
        <w:jc w:val="center"/>
        <w:rPr/>
      </w:pPr>
      <w:bookmarkStart w:id="90" w:name="__RefHeading___Toc27586_429042107"/>
      <w:bookmarkStart w:id="91" w:name="_Toc188020990"/>
      <w:bookmarkStart w:id="92" w:name="n452"/>
      <w:bookmarkEnd w:id="90"/>
      <w:bookmarkEnd w:id="92"/>
      <w:r>
        <w:rPr>
          <w:rFonts w:cs="Times New Roman" w:ascii="Times New Roman" w:hAnsi="Times New Roman"/>
          <w:b/>
          <w:bCs/>
          <w:color w:val="auto"/>
          <w:sz w:val="24"/>
          <w:szCs w:val="24"/>
        </w:rPr>
        <w:t>Додаток 4. Вихідні дані, що використані у муніципальному енергетичному плані</w:t>
      </w:r>
      <w:bookmarkEnd w:id="91"/>
    </w:p>
    <w:p>
      <w:pPr>
        <w:pStyle w:val="Normal"/>
        <w:numPr>
          <w:ilvl w:val="0"/>
          <w:numId w:val="6"/>
        </w:numPr>
        <w:tabs>
          <w:tab w:val="clear" w:pos="708"/>
          <w:tab w:val="left" w:pos="426" w:leader="none"/>
        </w:tabs>
        <w:spacing w:before="0" w:after="0"/>
        <w:ind w:hanging="0" w:start="0"/>
        <w:jc w:val="both"/>
        <w:rPr/>
      </w:pPr>
      <w:hyperlink r:id="rId98">
        <w:r>
          <w:rPr>
            <w:rStyle w:val="Hyperlink"/>
            <w:rFonts w:cs="Times New Roman" w:ascii="Times New Roman" w:hAnsi="Times New Roman"/>
            <w:sz w:val="24"/>
            <w:szCs w:val="24"/>
          </w:rPr>
          <w:t>https://zakon.rada.gov.ua/</w:t>
        </w:r>
      </w:hyperlink>
      <w:r>
        <w:rPr>
          <w:rFonts w:cs="Times New Roman" w:ascii="Times New Roman" w:hAnsi="Times New Roman"/>
          <w:sz w:val="24"/>
          <w:szCs w:val="24"/>
        </w:rPr>
        <w:t xml:space="preserve"> </w:t>
      </w:r>
      <w:r>
        <w:rPr>
          <w:rFonts w:cs="Times New Roman" w:ascii="Times New Roman" w:hAnsi="Times New Roman"/>
          <w:color w:val="000000"/>
          <w:sz w:val="24"/>
          <w:szCs w:val="24"/>
        </w:rPr>
        <w:t>– вебсайт Верховної Ради України;</w:t>
      </w:r>
    </w:p>
    <w:p>
      <w:pPr>
        <w:pStyle w:val="Normal"/>
        <w:numPr>
          <w:ilvl w:val="0"/>
          <w:numId w:val="6"/>
        </w:numPr>
        <w:tabs>
          <w:tab w:val="clear" w:pos="708"/>
          <w:tab w:val="left" w:pos="426" w:leader="none"/>
        </w:tabs>
        <w:spacing w:before="0" w:after="0"/>
        <w:ind w:hanging="0" w:start="0"/>
        <w:jc w:val="both"/>
        <w:rPr/>
      </w:pPr>
      <w:hyperlink r:id="rId99">
        <w:r>
          <w:rPr>
            <w:rStyle w:val="Hyperlink"/>
            <w:rFonts w:cs="Times New Roman" w:ascii="Times New Roman" w:hAnsi="Times New Roman"/>
            <w:color w:val="000000"/>
            <w:sz w:val="24"/>
            <w:szCs w:val="24"/>
          </w:rPr>
          <w:t>https://www.kmu.gov.ua/</w:t>
        </w:r>
      </w:hyperlink>
      <w:r>
        <w:rPr>
          <w:rFonts w:cs="Times New Roman" w:ascii="Times New Roman" w:hAnsi="Times New Roman"/>
          <w:color w:val="000000"/>
          <w:sz w:val="24"/>
          <w:szCs w:val="24"/>
        </w:rPr>
        <w:t xml:space="preserve"> – вебсайт Кабінету Міністрів України;</w:t>
      </w:r>
    </w:p>
    <w:p>
      <w:pPr>
        <w:pStyle w:val="Normal"/>
        <w:numPr>
          <w:ilvl w:val="0"/>
          <w:numId w:val="6"/>
        </w:numPr>
        <w:tabs>
          <w:tab w:val="clear" w:pos="708"/>
          <w:tab w:val="left" w:pos="426" w:leader="none"/>
        </w:tabs>
        <w:spacing w:before="0" w:after="0"/>
        <w:ind w:hanging="0" w:start="0"/>
        <w:jc w:val="both"/>
        <w:rPr/>
      </w:pPr>
      <w:hyperlink r:id="rId100">
        <w:r>
          <w:rPr>
            <w:rStyle w:val="Hyperlink"/>
            <w:rFonts w:cs="Times New Roman" w:ascii="Times New Roman" w:hAnsi="Times New Roman"/>
            <w:color w:val="000000"/>
            <w:sz w:val="24"/>
            <w:szCs w:val="24"/>
          </w:rPr>
          <w:t>https://minfin.com.ua/</w:t>
        </w:r>
      </w:hyperlink>
      <w:r>
        <w:rPr>
          <w:rFonts w:cs="Times New Roman" w:ascii="Times New Roman" w:hAnsi="Times New Roman"/>
          <w:color w:val="000000"/>
          <w:sz w:val="24"/>
          <w:szCs w:val="24"/>
        </w:rPr>
        <w:t xml:space="preserve"> – вебсайт Мінфіну;</w:t>
      </w:r>
    </w:p>
    <w:p>
      <w:pPr>
        <w:pStyle w:val="Normal"/>
        <w:numPr>
          <w:ilvl w:val="0"/>
          <w:numId w:val="6"/>
        </w:numPr>
        <w:tabs>
          <w:tab w:val="clear" w:pos="708"/>
          <w:tab w:val="left" w:pos="426" w:leader="none"/>
        </w:tabs>
        <w:spacing w:before="0" w:after="0"/>
        <w:ind w:hanging="0" w:start="0"/>
        <w:jc w:val="both"/>
        <w:rPr/>
      </w:pPr>
      <w:hyperlink r:id="rId101">
        <w:r>
          <w:rPr>
            <w:rStyle w:val="Hyperlink"/>
            <w:rFonts w:cs="Times New Roman" w:ascii="Times New Roman" w:hAnsi="Times New Roman"/>
            <w:color w:val="000000"/>
            <w:sz w:val="24"/>
            <w:szCs w:val="24"/>
          </w:rPr>
          <w:t>https://saee.gov.ua/</w:t>
        </w:r>
      </w:hyperlink>
      <w:r>
        <w:rPr>
          <w:rFonts w:cs="Times New Roman" w:ascii="Times New Roman" w:hAnsi="Times New Roman"/>
          <w:color w:val="000000"/>
          <w:sz w:val="24"/>
          <w:szCs w:val="24"/>
        </w:rPr>
        <w:t xml:space="preserve"> – вебсайт Держенергоефективності;</w:t>
      </w:r>
    </w:p>
    <w:p>
      <w:pPr>
        <w:pStyle w:val="Normal"/>
        <w:numPr>
          <w:ilvl w:val="0"/>
          <w:numId w:val="6"/>
        </w:numPr>
        <w:tabs>
          <w:tab w:val="clear" w:pos="708"/>
          <w:tab w:val="left" w:pos="426" w:leader="none"/>
        </w:tabs>
        <w:spacing w:before="0" w:after="0"/>
        <w:ind w:hanging="0" w:start="0"/>
        <w:jc w:val="both"/>
        <w:rPr/>
      </w:pPr>
      <w:hyperlink r:id="rId102">
        <w:r>
          <w:rPr>
            <w:rStyle w:val="Hyperlink"/>
            <w:rFonts w:cs="Times New Roman" w:ascii="Times New Roman" w:hAnsi="Times New Roman"/>
            <w:color w:val="000000"/>
            <w:sz w:val="24"/>
            <w:szCs w:val="24"/>
          </w:rPr>
          <w:t>https://www.nerc.gov.ua/</w:t>
        </w:r>
      </w:hyperlink>
      <w:r>
        <w:rPr>
          <w:rFonts w:cs="Times New Roman" w:ascii="Times New Roman" w:hAnsi="Times New Roman"/>
          <w:color w:val="000000"/>
          <w:sz w:val="24"/>
          <w:szCs w:val="24"/>
        </w:rPr>
        <w:t xml:space="preserve"> – вебсайт НКРЕКП;</w:t>
      </w:r>
    </w:p>
    <w:p>
      <w:pPr>
        <w:pStyle w:val="Normal"/>
        <w:numPr>
          <w:ilvl w:val="0"/>
          <w:numId w:val="6"/>
        </w:numPr>
        <w:tabs>
          <w:tab w:val="clear" w:pos="708"/>
          <w:tab w:val="left" w:pos="426" w:leader="none"/>
        </w:tabs>
        <w:spacing w:before="0" w:after="0"/>
        <w:ind w:hanging="0" w:start="0"/>
        <w:jc w:val="both"/>
        <w:rPr/>
      </w:pPr>
      <w:hyperlink r:id="rId103">
        <w:r>
          <w:rPr>
            <w:rStyle w:val="Hyperlink"/>
            <w:rFonts w:cs="Times New Roman" w:ascii="Times New Roman" w:hAnsi="Times New Roman"/>
            <w:sz w:val="24"/>
            <w:szCs w:val="24"/>
          </w:rPr>
          <w:t>https://com-east.eu/</w:t>
        </w:r>
      </w:hyperlink>
      <w:r>
        <w:rPr>
          <w:rFonts w:cs="Times New Roman" w:ascii="Times New Roman" w:hAnsi="Times New Roman"/>
          <w:sz w:val="24"/>
          <w:szCs w:val="24"/>
        </w:rPr>
        <w:t xml:space="preserve"> </w:t>
      </w:r>
      <w:r>
        <w:rPr>
          <w:rFonts w:cs="Times New Roman" w:ascii="Times New Roman" w:hAnsi="Times New Roman"/>
          <w:color w:val="000000"/>
          <w:sz w:val="24"/>
          <w:szCs w:val="24"/>
        </w:rPr>
        <w:t>– вебсайт Угоди мерів;</w:t>
      </w:r>
      <w:r>
        <w:rPr>
          <w:rFonts w:cs="Times New Roman" w:ascii="Times New Roman" w:hAnsi="Times New Roman"/>
          <w:sz w:val="24"/>
          <w:szCs w:val="24"/>
        </w:rPr>
        <w:t xml:space="preserve"> </w:t>
      </w:r>
    </w:p>
    <w:p>
      <w:pPr>
        <w:pStyle w:val="Normal"/>
        <w:numPr>
          <w:ilvl w:val="0"/>
          <w:numId w:val="6"/>
        </w:numPr>
        <w:tabs>
          <w:tab w:val="clear" w:pos="708"/>
          <w:tab w:val="left" w:pos="426" w:leader="none"/>
        </w:tabs>
        <w:spacing w:before="0" w:after="0"/>
        <w:ind w:hanging="0" w:start="0"/>
        <w:jc w:val="both"/>
        <w:rPr/>
      </w:pPr>
      <w:hyperlink r:id="rId104">
        <w:r>
          <w:rPr>
            <w:rStyle w:val="Hyperlink"/>
            <w:rFonts w:cs="Times New Roman" w:ascii="Times New Roman" w:hAnsi="Times New Roman"/>
            <w:sz w:val="24"/>
            <w:szCs w:val="24"/>
          </w:rPr>
          <w:t>https://voladm.gov.ua/</w:t>
        </w:r>
      </w:hyperlink>
      <w:r>
        <w:rPr>
          <w:rFonts w:cs="Times New Roman" w:ascii="Times New Roman" w:hAnsi="Times New Roman"/>
          <w:sz w:val="24"/>
          <w:szCs w:val="24"/>
        </w:rPr>
        <w:t xml:space="preserve"> </w:t>
      </w:r>
      <w:r>
        <w:rPr>
          <w:rFonts w:cs="Times New Roman" w:ascii="Times New Roman" w:hAnsi="Times New Roman"/>
          <w:color w:val="000000"/>
          <w:sz w:val="24"/>
          <w:szCs w:val="24"/>
        </w:rPr>
        <w:t>– вебсайт Волинської ОДА;</w:t>
      </w:r>
    </w:p>
    <w:p>
      <w:pPr>
        <w:pStyle w:val="Normal"/>
        <w:numPr>
          <w:ilvl w:val="0"/>
          <w:numId w:val="6"/>
        </w:numPr>
        <w:tabs>
          <w:tab w:val="clear" w:pos="708"/>
          <w:tab w:val="left" w:pos="426" w:leader="none"/>
        </w:tabs>
        <w:spacing w:before="0" w:after="0"/>
        <w:ind w:hanging="0" w:start="0"/>
        <w:jc w:val="both"/>
        <w:rPr/>
      </w:pPr>
      <w:hyperlink r:id="rId105">
        <w:r>
          <w:rPr>
            <w:rStyle w:val="Hyperlink"/>
            <w:rFonts w:cs="Times New Roman" w:ascii="Times New Roman" w:hAnsi="Times New Roman"/>
            <w:sz w:val="24"/>
            <w:szCs w:val="24"/>
          </w:rPr>
          <w:t>https://www.lutskrada.gov.ua/</w:t>
        </w:r>
      </w:hyperlink>
      <w:r>
        <w:rPr>
          <w:rStyle w:val="InternetLink"/>
          <w:rFonts w:cs="Times New Roman" w:ascii="Times New Roman" w:hAnsi="Times New Roman"/>
          <w:sz w:val="24"/>
          <w:szCs w:val="24"/>
          <w:u w:val="none"/>
        </w:rPr>
        <w:t xml:space="preserve"> </w:t>
      </w:r>
      <w:r>
        <w:rPr>
          <w:rStyle w:val="InternetLink"/>
          <w:rFonts w:cs="Times New Roman" w:ascii="Times New Roman" w:hAnsi="Times New Roman"/>
          <w:color w:val="000000"/>
          <w:sz w:val="24"/>
          <w:szCs w:val="24"/>
          <w:u w:val="none"/>
        </w:rPr>
        <w:t>– вебсайт Луцької міської ради;</w:t>
      </w:r>
    </w:p>
    <w:p>
      <w:pPr>
        <w:pStyle w:val="Normal"/>
        <w:numPr>
          <w:ilvl w:val="0"/>
          <w:numId w:val="6"/>
        </w:numPr>
        <w:tabs>
          <w:tab w:val="clear" w:pos="708"/>
          <w:tab w:val="left" w:pos="450" w:leader="none"/>
        </w:tabs>
        <w:spacing w:before="0" w:after="0"/>
        <w:ind w:hanging="0" w:start="0"/>
        <w:jc w:val="both"/>
        <w:rPr/>
      </w:pPr>
      <w:hyperlink r:id="rId106">
        <w:r>
          <w:rPr>
            <w:rStyle w:val="Hyperlink"/>
            <w:rFonts w:eastAsia="NSimSun" w:cs="Times New Roman" w:ascii="Times New Roman" w:hAnsi="Times New Roman"/>
            <w:color w:val="000000"/>
            <w:kern w:val="2"/>
            <w:sz w:val="24"/>
            <w:szCs w:val="24"/>
            <w:shd w:fill="FFFFFF" w:val="clear"/>
            <w:lang w:eastAsia="zh-CN" w:bidi="hi-IN"/>
          </w:rPr>
          <w:t>https://www.teplo-dkp.lutsk.ua/</w:t>
        </w:r>
      </w:hyperlink>
      <w:r>
        <w:rPr>
          <w:rStyle w:val="12"/>
          <w:rFonts w:eastAsia="NSimSun" w:cs="Times New Roman" w:ascii="Times New Roman" w:hAnsi="Times New Roman"/>
          <w:b w:val="false"/>
          <w:bCs w:val="false"/>
          <w:color w:val="000000"/>
          <w:kern w:val="2"/>
          <w:sz w:val="24"/>
          <w:szCs w:val="24"/>
          <w:shd w:fill="FFFFFF" w:val="clear"/>
          <w:lang w:eastAsia="zh-CN" w:bidi="hi-IN"/>
        </w:rPr>
        <w:t xml:space="preserve"> </w:t>
      </w:r>
      <w:r>
        <w:rPr>
          <w:rStyle w:val="InternetLink"/>
          <w:rFonts w:eastAsia="NSimSun" w:cs="Times New Roman" w:ascii="Times New Roman" w:hAnsi="Times New Roman"/>
          <w:color w:val="000000"/>
          <w:kern w:val="2"/>
          <w:sz w:val="24"/>
          <w:szCs w:val="24"/>
          <w:u w:val="none"/>
          <w:shd w:fill="FFFFFF" w:val="clear"/>
          <w:lang w:eastAsia="zh-CN" w:bidi="hi-IN"/>
        </w:rPr>
        <w:t>– вебсайт ДКП «Луцьктепло»;</w:t>
      </w:r>
    </w:p>
    <w:p>
      <w:pPr>
        <w:pStyle w:val="Normal"/>
        <w:numPr>
          <w:ilvl w:val="0"/>
          <w:numId w:val="6"/>
        </w:numPr>
        <w:tabs>
          <w:tab w:val="clear" w:pos="708"/>
          <w:tab w:val="left" w:pos="450" w:leader="none"/>
        </w:tabs>
        <w:spacing w:before="0" w:after="0"/>
        <w:ind w:hanging="0" w:start="0"/>
        <w:jc w:val="both"/>
        <w:rPr/>
      </w:pPr>
      <w:hyperlink r:id="rId107">
        <w:r>
          <w:rPr>
            <w:rStyle w:val="Hyperlink"/>
            <w:rFonts w:eastAsia="NSimSun" w:cs="Times New Roman" w:ascii="Times New Roman" w:hAnsi="Times New Roman"/>
            <w:color w:val="000000"/>
            <w:kern w:val="2"/>
            <w:sz w:val="24"/>
            <w:szCs w:val="24"/>
            <w:u w:val="none"/>
            <w:shd w:fill="FFFFFF" w:val="clear"/>
            <w:lang w:eastAsia="zh-CN" w:bidi="hi-IN"/>
          </w:rPr>
          <w:t>https://vd.lutsk.ua/</w:t>
        </w:r>
      </w:hyperlink>
      <w:r>
        <w:rPr>
          <w:rStyle w:val="InternetLink"/>
          <w:rFonts w:eastAsia="NSimSun" w:cs="Times New Roman" w:ascii="Times New Roman" w:hAnsi="Times New Roman"/>
          <w:color w:val="000000"/>
          <w:kern w:val="2"/>
          <w:sz w:val="24"/>
          <w:szCs w:val="24"/>
          <w:u w:val="none"/>
          <w:shd w:fill="FFFFFF" w:val="clear"/>
          <w:lang w:eastAsia="zh-CN" w:bidi="hi-IN"/>
        </w:rPr>
        <w:t xml:space="preserve"> – вебсайт КП «Луцькводоканал»;</w:t>
      </w:r>
    </w:p>
    <w:p>
      <w:pPr>
        <w:pStyle w:val="Normal"/>
        <w:numPr>
          <w:ilvl w:val="0"/>
          <w:numId w:val="6"/>
        </w:numPr>
        <w:tabs>
          <w:tab w:val="clear" w:pos="708"/>
          <w:tab w:val="left" w:pos="450" w:leader="none"/>
        </w:tabs>
        <w:spacing w:before="0" w:after="0"/>
        <w:ind w:hanging="0" w:start="0"/>
        <w:jc w:val="both"/>
        <w:rPr/>
      </w:pPr>
      <w:hyperlink r:id="rId108">
        <w:r>
          <w:rPr>
            <w:rStyle w:val="Hyperlink"/>
            <w:rFonts w:eastAsia="NSimSun" w:cs="Times New Roman" w:ascii="Times New Roman" w:hAnsi="Times New Roman"/>
            <w:color w:val="000000"/>
            <w:kern w:val="2"/>
            <w:sz w:val="24"/>
            <w:szCs w:val="24"/>
            <w:shd w:fill="FFFFFF" w:val="clear"/>
            <w:lang w:eastAsia="zh-CN" w:bidi="hi-IN"/>
          </w:rPr>
          <w:t>https://www.calculat.org/ua/</w:t>
        </w:r>
      </w:hyperlink>
      <w:r>
        <w:rPr>
          <w:rStyle w:val="InternetLink"/>
          <w:rFonts w:eastAsia="NSimSun" w:cs="Times New Roman" w:ascii="Times New Roman" w:hAnsi="Times New Roman"/>
          <w:color w:val="000000"/>
          <w:kern w:val="2"/>
          <w:sz w:val="24"/>
          <w:szCs w:val="24"/>
          <w:shd w:fill="FFFFFF" w:val="clear"/>
          <w:lang w:eastAsia="zh-CN" w:bidi="hi-IN"/>
        </w:rPr>
        <w:t xml:space="preserve"> </w:t>
      </w:r>
      <w:r>
        <w:rPr>
          <w:rStyle w:val="InternetLink"/>
          <w:rFonts w:eastAsia="NSimSun" w:cs="Times New Roman" w:ascii="Times New Roman" w:hAnsi="Times New Roman"/>
          <w:color w:val="000000"/>
          <w:kern w:val="2"/>
          <w:sz w:val="24"/>
          <w:szCs w:val="24"/>
          <w:u w:val="none"/>
          <w:shd w:fill="FFFFFF" w:val="clear"/>
          <w:lang w:eastAsia="zh-CN" w:bidi="hi-IN"/>
        </w:rPr>
        <w:t>–</w:t>
      </w:r>
      <w:r>
        <w:rPr>
          <w:rStyle w:val="12"/>
          <w:rFonts w:eastAsia="NSimSun" w:cs="Times New Roman" w:ascii="Times New Roman" w:hAnsi="Times New Roman"/>
          <w:b w:val="false"/>
          <w:bCs w:val="false"/>
          <w:color w:val="000000"/>
          <w:kern w:val="2"/>
          <w:sz w:val="24"/>
          <w:szCs w:val="24"/>
          <w:shd w:fill="FFFFFF" w:val="clear"/>
          <w:lang w:eastAsia="zh-CN" w:bidi="hi-IN"/>
        </w:rPr>
        <w:t xml:space="preserve"> вебсторінка: онлайн калькулятор;</w:t>
      </w:r>
    </w:p>
    <w:p>
      <w:pPr>
        <w:pStyle w:val="Normal"/>
        <w:numPr>
          <w:ilvl w:val="0"/>
          <w:numId w:val="6"/>
        </w:numPr>
        <w:tabs>
          <w:tab w:val="clear" w:pos="708"/>
          <w:tab w:val="left" w:pos="450" w:leader="none"/>
        </w:tabs>
        <w:spacing w:before="0" w:after="0"/>
        <w:ind w:hanging="0" w:start="0"/>
        <w:jc w:val="both"/>
        <w:rPr/>
      </w:pPr>
      <w:hyperlink r:id="rId109">
        <w:r>
          <w:rPr>
            <w:rStyle w:val="Hyperlink"/>
            <w:rFonts w:eastAsia="NSimSun" w:cs="Times New Roman" w:ascii="Times New Roman" w:hAnsi="Times New Roman"/>
            <w:color w:val="000000"/>
            <w:kern w:val="2"/>
            <w:sz w:val="24"/>
            <w:szCs w:val="24"/>
            <w:shd w:fill="FFFFFF" w:val="clear"/>
            <w:lang w:eastAsia="zh-CN" w:bidi="hi-IN"/>
          </w:rPr>
          <w:t>https://geo.lutskrada.gov.ua/home</w:t>
        </w:r>
      </w:hyperlink>
      <w:r>
        <w:rPr>
          <w:rStyle w:val="12"/>
          <w:rFonts w:eastAsia="NSimSun" w:cs="Times New Roman" w:ascii="Times New Roman" w:hAnsi="Times New Roman"/>
          <w:b w:val="false"/>
          <w:bCs w:val="false"/>
          <w:color w:val="000000"/>
          <w:kern w:val="2"/>
          <w:sz w:val="24"/>
          <w:szCs w:val="24"/>
          <w:shd w:fill="FFFFFF" w:val="clear"/>
          <w:lang w:eastAsia="zh-CN" w:bidi="hi-IN"/>
        </w:rPr>
        <w:t xml:space="preserve"> </w:t>
      </w:r>
      <w:r>
        <w:rPr>
          <w:rStyle w:val="InternetLink"/>
          <w:rFonts w:eastAsia="NSimSun" w:cs="Times New Roman" w:ascii="Times New Roman" w:hAnsi="Times New Roman"/>
          <w:color w:val="000000"/>
          <w:kern w:val="2"/>
          <w:sz w:val="24"/>
          <w:szCs w:val="24"/>
          <w:u w:val="none"/>
          <w:shd w:fill="FFFFFF" w:val="clear"/>
          <w:lang w:eastAsia="zh-CN" w:bidi="hi-IN"/>
        </w:rPr>
        <w:t>– Геопортал Луцької міської територіальної громади;</w:t>
      </w:r>
    </w:p>
    <w:p>
      <w:pPr>
        <w:pStyle w:val="Normal"/>
        <w:numPr>
          <w:ilvl w:val="0"/>
          <w:numId w:val="6"/>
        </w:numPr>
        <w:tabs>
          <w:tab w:val="clear" w:pos="708"/>
          <w:tab w:val="left" w:pos="450" w:leader="none"/>
        </w:tabs>
        <w:spacing w:before="0" w:after="0"/>
        <w:ind w:hanging="0" w:start="0"/>
        <w:jc w:val="both"/>
        <w:rPr/>
      </w:pPr>
      <w:r>
        <w:rPr>
          <w:rStyle w:val="12"/>
          <w:rFonts w:eastAsia="NSimSun" w:cs="Times New Roman" w:ascii="Times New Roman" w:hAnsi="Times New Roman"/>
          <w:b w:val="false"/>
          <w:bCs w:val="false"/>
          <w:color w:val="000000"/>
          <w:kern w:val="2"/>
          <w:sz w:val="24"/>
          <w:szCs w:val="24"/>
          <w:shd w:fill="FFFFFF" w:val="clear"/>
          <w:lang w:eastAsia="zh-CN" w:bidi="hi-IN"/>
        </w:rPr>
        <w:t xml:space="preserve">Стратегія розвитку Волинської області на період до 2027 року, затверджена рішенням сесії обласної ради від 13.10.2020 № 32/3; </w:t>
      </w:r>
    </w:p>
    <w:p>
      <w:pPr>
        <w:pStyle w:val="Normal"/>
        <w:numPr>
          <w:ilvl w:val="0"/>
          <w:numId w:val="6"/>
        </w:numPr>
        <w:tabs>
          <w:tab w:val="clear" w:pos="708"/>
          <w:tab w:val="left" w:pos="450" w:leader="none"/>
        </w:tabs>
        <w:spacing w:before="0" w:after="0"/>
        <w:ind w:hanging="0" w:start="0"/>
        <w:jc w:val="both"/>
        <w:rPr/>
      </w:pPr>
      <w:r>
        <w:rPr>
          <w:rStyle w:val="12"/>
          <w:rFonts w:eastAsia="NSimSun" w:cs="Times New Roman" w:ascii="Times New Roman" w:hAnsi="Times New Roman"/>
          <w:b w:val="false"/>
          <w:bCs w:val="false"/>
          <w:color w:val="000000"/>
          <w:kern w:val="2"/>
          <w:sz w:val="24"/>
          <w:szCs w:val="24"/>
          <w:shd w:fill="FFFFFF" w:val="clear"/>
          <w:lang w:eastAsia="zh-CN" w:bidi="hi-IN"/>
        </w:rPr>
        <w:t>С</w:t>
      </w:r>
      <w:r>
        <w:rPr>
          <w:rFonts w:ascii="Times New Roman" w:hAnsi="Times New Roman"/>
          <w:sz w:val="24"/>
          <w:szCs w:val="24"/>
        </w:rPr>
        <w:t xml:space="preserve">тратегія Луцької міської територіальної громади до 2030 року, затверджена </w:t>
      </w:r>
      <w:r>
        <w:rPr>
          <w:rFonts w:ascii="Times New Roman" w:hAnsi="Times New Roman"/>
          <w:color w:val="000000"/>
          <w:sz w:val="24"/>
          <w:szCs w:val="24"/>
        </w:rPr>
        <w:t>рішенням Луцької міської ради від 31.07.2024 №61/128;</w:t>
      </w:r>
    </w:p>
    <w:p>
      <w:pPr>
        <w:pStyle w:val="Normal"/>
        <w:numPr>
          <w:ilvl w:val="0"/>
          <w:numId w:val="6"/>
        </w:numPr>
        <w:tabs>
          <w:tab w:val="clear" w:pos="708"/>
          <w:tab w:val="left" w:pos="450" w:leader="none"/>
        </w:tabs>
        <w:spacing w:before="0" w:after="0"/>
        <w:ind w:hanging="0" w:start="0"/>
        <w:jc w:val="both"/>
        <w:rPr/>
      </w:pPr>
      <w:r>
        <w:rPr>
          <w:rStyle w:val="12"/>
          <w:rFonts w:eastAsia="NSimSun" w:cs="Times New Roman" w:ascii="Times New Roman" w:hAnsi="Times New Roman"/>
          <w:b w:val="false"/>
          <w:bCs w:val="false"/>
          <w:color w:val="000000"/>
          <w:kern w:val="2"/>
          <w:sz w:val="24"/>
          <w:szCs w:val="24"/>
          <w:shd w:fill="FFFFFF" w:val="clear"/>
          <w:lang w:eastAsia="zh-CN" w:bidi="hi-IN"/>
        </w:rPr>
        <w:t xml:space="preserve">План дій сталого енергетичного розвитку Луцької міської територіальної громади до 2050 року, затверджений рішенням Луцької міської ради від 29.05.2024 </w:t>
      </w:r>
      <w:r>
        <w:rPr>
          <w:rFonts w:ascii="Times New Roman" w:hAnsi="Times New Roman"/>
          <w:color w:val="000000"/>
          <w:sz w:val="24"/>
          <w:szCs w:val="24"/>
        </w:rPr>
        <w:t>№59/90;</w:t>
      </w:r>
    </w:p>
    <w:p>
      <w:pPr>
        <w:pStyle w:val="Normal"/>
        <w:numPr>
          <w:ilvl w:val="0"/>
          <w:numId w:val="6"/>
        </w:numPr>
        <w:tabs>
          <w:tab w:val="clear" w:pos="708"/>
          <w:tab w:val="left" w:pos="426" w:leader="none"/>
        </w:tabs>
        <w:spacing w:before="0" w:after="0"/>
        <w:ind w:hanging="0" w:start="0"/>
        <w:jc w:val="both"/>
        <w:rPr/>
      </w:pPr>
      <w:r>
        <w:rPr>
          <w:rFonts w:cs="Times New Roman" w:ascii="Times New Roman" w:hAnsi="Times New Roman"/>
          <w:color w:val="000000"/>
          <w:sz w:val="24"/>
          <w:szCs w:val="24"/>
        </w:rPr>
        <w:t>Інформація від Волинської філії «Газмережі» та ПрАТ «Волиньобленерго»;</w:t>
      </w:r>
    </w:p>
    <w:p>
      <w:pPr>
        <w:pStyle w:val="Normal"/>
        <w:numPr>
          <w:ilvl w:val="0"/>
          <w:numId w:val="6"/>
        </w:numPr>
        <w:tabs>
          <w:tab w:val="clear" w:pos="708"/>
          <w:tab w:val="left" w:pos="426" w:leader="none"/>
        </w:tabs>
        <w:spacing w:before="0" w:after="0"/>
        <w:ind w:hanging="0" w:start="0"/>
        <w:jc w:val="both"/>
        <w:rPr/>
      </w:pPr>
      <w:r>
        <w:rPr>
          <w:rFonts w:cs="Times New Roman" w:ascii="Times New Roman" w:hAnsi="Times New Roman"/>
          <w:sz w:val="24"/>
          <w:szCs w:val="24"/>
        </w:rPr>
        <w:t>Інформація від муніципальних установ та організацій Луцької міської територіальної громади;</w:t>
      </w:r>
    </w:p>
    <w:p>
      <w:pPr>
        <w:sectPr>
          <w:headerReference w:type="even" r:id="rId110"/>
          <w:headerReference w:type="default" r:id="rId111"/>
          <w:headerReference w:type="first" r:id="rId112"/>
          <w:footerReference w:type="even" r:id="rId113"/>
          <w:footerReference w:type="default" r:id="rId114"/>
          <w:footerReference w:type="first" r:id="rId115"/>
          <w:type w:val="nextPage"/>
          <w:pgSz w:w="11906" w:h="16838"/>
          <w:pgMar w:left="1701" w:right="567" w:gutter="0" w:header="0" w:top="1134" w:footer="0" w:bottom="1134"/>
          <w:pgNumType w:fmt="decimal"/>
          <w:formProt w:val="false"/>
          <w:textDirection w:val="lrTb"/>
          <w:docGrid w:type="default" w:linePitch="360" w:charSpace="40960"/>
        </w:sectPr>
        <w:pStyle w:val="Normal"/>
        <w:numPr>
          <w:ilvl w:val="0"/>
          <w:numId w:val="6"/>
        </w:numPr>
        <w:tabs>
          <w:tab w:val="clear" w:pos="708"/>
          <w:tab w:val="left" w:pos="426" w:leader="none"/>
        </w:tabs>
        <w:spacing w:before="0" w:after="0"/>
        <w:ind w:hanging="0" w:start="0"/>
        <w:jc w:val="both"/>
        <w:rPr/>
      </w:pPr>
      <w:r>
        <w:rPr>
          <w:rFonts w:cs="Times New Roman" w:ascii="Times New Roman" w:hAnsi="Times New Roman"/>
          <w:sz w:val="24"/>
          <w:szCs w:val="24"/>
        </w:rPr>
        <w:t>Результати моніторингу споживання енергоресурсів муніципальними установами та організаціями, що фінансуються з бюджету Луцької міської територіальної громади</w:t>
      </w:r>
      <w:r>
        <w:rPr>
          <w:rFonts w:cs="Times New Roman" w:ascii="Times New Roman" w:hAnsi="Times New Roman"/>
          <w:b/>
          <w:bCs/>
          <w:sz w:val="24"/>
          <w:szCs w:val="24"/>
        </w:rPr>
        <w:t>.</w:t>
      </w:r>
    </w:p>
    <w:p>
      <w:pPr>
        <w:pStyle w:val="111"/>
        <w:ind w:firstLine="567"/>
        <w:jc w:val="center"/>
        <w:rPr/>
      </w:pPr>
      <w:bookmarkStart w:id="93" w:name="__RefHeading___Toc27588_429042107"/>
      <w:bookmarkStart w:id="94" w:name="_Toc188020991"/>
      <w:bookmarkStart w:id="95" w:name="n453"/>
      <w:bookmarkEnd w:id="93"/>
      <w:bookmarkEnd w:id="95"/>
      <w:r>
        <w:rPr>
          <w:rFonts w:cs="Times New Roman" w:ascii="Times New Roman" w:hAnsi="Times New Roman"/>
          <w:b/>
          <w:bCs/>
          <w:color w:val="auto"/>
          <w:sz w:val="24"/>
          <w:szCs w:val="24"/>
        </w:rPr>
        <w:t>Додаток 5. Прогноз зміни цін і тарифів на енергію та комунальні послуги</w:t>
      </w:r>
      <w:bookmarkEnd w:id="94"/>
    </w:p>
    <w:tbl>
      <w:tblPr>
        <w:tblW w:w="14541" w:type="dxa"/>
        <w:jc w:val="start"/>
        <w:tblInd w:w="85" w:type="dxa"/>
        <w:tblLayout w:type="fixed"/>
        <w:tblCellMar>
          <w:top w:w="55" w:type="dxa"/>
          <w:start w:w="55" w:type="dxa"/>
          <w:bottom w:w="55" w:type="dxa"/>
          <w:end w:w="55" w:type="dxa"/>
        </w:tblCellMar>
        <w:tblLook w:firstRow="1" w:noVBand="1" w:lastRow="0" w:firstColumn="1" w:lastColumn="0" w:noHBand="0" w:val="04a0"/>
      </w:tblPr>
      <w:tblGrid>
        <w:gridCol w:w="2444"/>
        <w:gridCol w:w="865"/>
        <w:gridCol w:w="864"/>
        <w:gridCol w:w="864"/>
        <w:gridCol w:w="862"/>
        <w:gridCol w:w="865"/>
        <w:gridCol w:w="865"/>
        <w:gridCol w:w="864"/>
        <w:gridCol w:w="864"/>
        <w:gridCol w:w="862"/>
        <w:gridCol w:w="865"/>
        <w:gridCol w:w="864"/>
        <w:gridCol w:w="865"/>
        <w:gridCol w:w="864"/>
        <w:gridCol w:w="864"/>
      </w:tblGrid>
      <w:tr>
        <w:trPr/>
        <w:tc>
          <w:tcPr>
            <w:tcW w:w="244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textAlignment w:val="top"/>
              <w:rPr/>
            </w:pPr>
            <w:r>
              <w:rPr>
                <w:rFonts w:ascii="Times New Roman" w:hAnsi="Times New Roman"/>
                <w:sz w:val="20"/>
                <w:szCs w:val="20"/>
              </w:rPr>
              <w:t>Сектори кінцевих споживачів енергетичного планування</w:t>
            </w:r>
          </w:p>
        </w:tc>
        <w:tc>
          <w:tcPr>
            <w:tcW w:w="86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2017</w:t>
            </w:r>
          </w:p>
        </w:tc>
        <w:tc>
          <w:tcPr>
            <w:tcW w:w="86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2018</w:t>
            </w:r>
          </w:p>
        </w:tc>
        <w:tc>
          <w:tcPr>
            <w:tcW w:w="86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2019</w:t>
            </w:r>
          </w:p>
        </w:tc>
        <w:tc>
          <w:tcPr>
            <w:tcW w:w="862"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2020</w:t>
            </w:r>
          </w:p>
        </w:tc>
        <w:tc>
          <w:tcPr>
            <w:tcW w:w="86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2021</w:t>
            </w:r>
          </w:p>
        </w:tc>
        <w:tc>
          <w:tcPr>
            <w:tcW w:w="86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2022</w:t>
            </w:r>
          </w:p>
        </w:tc>
        <w:tc>
          <w:tcPr>
            <w:tcW w:w="86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2023</w:t>
            </w:r>
          </w:p>
        </w:tc>
        <w:tc>
          <w:tcPr>
            <w:tcW w:w="86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2024</w:t>
            </w:r>
          </w:p>
        </w:tc>
        <w:tc>
          <w:tcPr>
            <w:tcW w:w="862"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2025</w:t>
            </w:r>
          </w:p>
        </w:tc>
        <w:tc>
          <w:tcPr>
            <w:tcW w:w="86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2026</w:t>
            </w:r>
          </w:p>
        </w:tc>
        <w:tc>
          <w:tcPr>
            <w:tcW w:w="86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2027</w:t>
            </w:r>
          </w:p>
        </w:tc>
        <w:tc>
          <w:tcPr>
            <w:tcW w:w="865"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2028</w:t>
            </w:r>
          </w:p>
        </w:tc>
        <w:tc>
          <w:tcPr>
            <w:tcW w:w="864" w:type="dxa"/>
            <w:tcBorders>
              <w:top w:val="single" w:sz="4" w:space="0" w:color="000000"/>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2029</w:t>
            </w:r>
          </w:p>
        </w:tc>
        <w:tc>
          <w:tcPr>
            <w:tcW w:w="86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pPr>
            <w:r>
              <w:rPr>
                <w:rFonts w:ascii="Times New Roman" w:hAnsi="Times New Roman"/>
                <w:sz w:val="20"/>
                <w:szCs w:val="20"/>
              </w:rPr>
              <w:t>2030</w:t>
            </w:r>
          </w:p>
        </w:tc>
      </w:tr>
      <w:tr>
        <w:trPr>
          <w:trHeight w:val="232" w:hRule="atLeast"/>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textAlignment w:val="top"/>
              <w:rPr/>
            </w:pPr>
            <w:r>
              <w:rPr>
                <w:rFonts w:ascii="Times New Roman" w:hAnsi="Times New Roman"/>
                <w:sz w:val="20"/>
                <w:szCs w:val="20"/>
              </w:rPr>
              <w:t>Громадські будівлі (Бюджет)</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Тепло, грн/Гкал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2035,4</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1825,79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1825,79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1352,49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3500,96</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3056,81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3546,28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3546,28</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4500,00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5500,00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6500,00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7500,00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8500,00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9500,00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Природний газ, грн/1000м</w:t>
            </w:r>
            <w:r>
              <w:rPr>
                <w:rFonts w:ascii="Times New Roman" w:hAnsi="Times New Roman"/>
                <w:sz w:val="20"/>
                <w:szCs w:val="20"/>
                <w:vertAlign w:val="superscript"/>
              </w:rPr>
              <w:t>3</w:t>
            </w:r>
            <w:r>
              <w:rPr>
                <w:rFonts w:ascii="Times New Roman" w:hAnsi="Times New Roman"/>
                <w:sz w:val="20"/>
                <w:szCs w:val="20"/>
              </w:rPr>
              <w:t xml:space="preserve">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10136,22</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12437,03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11994,24</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9900,00</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16553,89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16553,89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16553,89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16553,89</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19000,00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22000,00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25000,00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28000,00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32000,00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35000,00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грн/кВт*год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2,311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3,114</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3,172</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5,6212</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6,013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7,519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7,272</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9,00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11,00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12,00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13,00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Деревина </w:t>
            </w:r>
            <w:r>
              <w:rPr>
                <w:rFonts w:ascii="Times New Roman" w:hAnsi="Times New Roman"/>
                <w:sz w:val="20"/>
                <w:szCs w:val="20"/>
              </w:rPr>
              <w:t>грн/</w:t>
            </w:r>
            <w:r>
              <w:rPr>
                <w:rFonts w:ascii="Times New Roman" w:hAnsi="Times New Roman"/>
                <w:sz w:val="20"/>
                <w:szCs w:val="20"/>
              </w:rPr>
              <w:t>м</w:t>
            </w:r>
            <w:r>
              <w:rPr>
                <w:rFonts w:ascii="Times New Roman" w:hAnsi="Times New Roman"/>
                <w:sz w:val="20"/>
                <w:szCs w:val="20"/>
                <w:vertAlign w:val="superscript"/>
              </w:rPr>
              <w:t>3</w:t>
            </w:r>
            <w:r>
              <w:rPr>
                <w:rFonts w:ascii="Times New Roman" w:hAnsi="Times New Roman"/>
                <w:sz w:val="20"/>
                <w:szCs w:val="20"/>
              </w:rPr>
              <w:t xml:space="preserve"> (без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690,00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849,99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899,99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919,68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912,00</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1532,50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1700,00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1840,00</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2300,00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2800,00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3300,00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3800,00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4300,00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4800,00</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Об'єкти водопостачання та водовідведення</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з розподілом, грн/кВт*год</w:t>
            </w:r>
          </w:p>
          <w:p>
            <w:pPr>
              <w:pStyle w:val="Normal"/>
              <w:spacing w:lineRule="auto" w:line="240" w:before="0" w:after="0"/>
              <w:rPr/>
            </w:pPr>
            <w:r>
              <w:rPr>
                <w:rFonts w:ascii="Times New Roman" w:hAnsi="Times New Roman"/>
                <w:sz w:val="20"/>
                <w:szCs w:val="20"/>
              </w:rPr>
              <w:t>(з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2,311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2,919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3,185</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5,824</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6,222</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7,601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10,261</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12,651</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14,056</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15,462</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16,867</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18,273</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19,679</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Об’єкти зовнішнього освітлення</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(розподіл, постачання) грн/кВт*год</w:t>
            </w:r>
          </w:p>
          <w:p>
            <w:pPr>
              <w:pStyle w:val="Normal"/>
              <w:spacing w:lineRule="auto" w:line="240" w:before="0" w:after="0"/>
              <w:rPr/>
            </w:pPr>
            <w:r>
              <w:rPr>
                <w:rFonts w:ascii="Times New Roman" w:hAnsi="Times New Roman"/>
                <w:sz w:val="20"/>
                <w:szCs w:val="20"/>
              </w:rPr>
              <w:t>(з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2,311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2,919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3,185</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5,82</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6,58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7,16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7,76</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9,00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11,00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12,00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13,00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14,00</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Житлові будівлі (Населення)</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Тепло, грн/Гкал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1494,15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1847,75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1847,75</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1359,99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2032,73</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2032,73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2032,73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2032,73</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2032,73</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3000,00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4000,00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5000,00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6000,00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7000,00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Природний газ, грн/м</w:t>
            </w:r>
            <w:r>
              <w:rPr>
                <w:rFonts w:ascii="Times New Roman" w:hAnsi="Times New Roman"/>
                <w:sz w:val="20"/>
                <w:szCs w:val="20"/>
                <w:vertAlign w:val="superscript"/>
              </w:rPr>
              <w:t>3</w:t>
            </w:r>
          </w:p>
          <w:p>
            <w:pPr>
              <w:pStyle w:val="Normal"/>
              <w:spacing w:lineRule="auto" w:line="240" w:before="0" w:after="0"/>
              <w:rPr/>
            </w:pPr>
            <w:r>
              <w:rPr>
                <w:rFonts w:ascii="Times New Roman" w:hAnsi="Times New Roman"/>
                <w:sz w:val="20"/>
                <w:szCs w:val="20"/>
              </w:rPr>
              <w:t>(з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6,9579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8,5489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6,3052</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8,8361</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7,96</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7,96</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16,00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24,00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28,00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30,00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грн/кВт*год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1,68</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1,68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2,64</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4,32</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4,32</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11,00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Деревина </w:t>
            </w:r>
            <w:r>
              <w:rPr>
                <w:rFonts w:ascii="Times New Roman" w:hAnsi="Times New Roman"/>
                <w:sz w:val="20"/>
                <w:szCs w:val="20"/>
              </w:rPr>
              <w:t>грн/</w:t>
            </w:r>
            <w:r>
              <w:rPr>
                <w:rFonts w:ascii="Times New Roman" w:hAnsi="Times New Roman"/>
                <w:sz w:val="20"/>
                <w:szCs w:val="20"/>
              </w:rPr>
              <w:t>м</w:t>
            </w:r>
            <w:r>
              <w:rPr>
                <w:rFonts w:ascii="Times New Roman" w:hAnsi="Times New Roman"/>
                <w:sz w:val="20"/>
                <w:szCs w:val="20"/>
                <w:vertAlign w:val="superscript"/>
              </w:rPr>
              <w:t>3</w:t>
            </w:r>
            <w:r>
              <w:rPr>
                <w:rFonts w:ascii="Times New Roman" w:hAnsi="Times New Roman"/>
                <w:sz w:val="20"/>
                <w:szCs w:val="20"/>
              </w:rPr>
              <w:t xml:space="preserve"> (без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690,00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849,99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899,99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919,68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912,00</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1532,5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1700,00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1840,00</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2300,00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2800,00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3300,00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3800,00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4300,00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4800,00</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Об'єкти у сфері теплопостачання  (в частині споживання електричної енергії для потреб транспортування і розподілу теплової енергії)</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з розподілом, грн/кВт*год</w:t>
            </w:r>
          </w:p>
          <w:p>
            <w:pPr>
              <w:pStyle w:val="Normal"/>
              <w:spacing w:lineRule="auto" w:line="240" w:before="0" w:after="0"/>
              <w:rPr/>
            </w:pPr>
            <w:r>
              <w:rPr>
                <w:rFonts w:ascii="Times New Roman" w:hAnsi="Times New Roman"/>
                <w:sz w:val="20"/>
                <w:szCs w:val="20"/>
              </w:rPr>
              <w:t>(з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2,57</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2,57</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2,71</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3,42</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3,42</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3,42</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3,42</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3,42</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4,32</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Газ, грн/1000м</w:t>
            </w:r>
            <w:r>
              <w:rPr>
                <w:rFonts w:ascii="Times New Roman" w:hAnsi="Times New Roman"/>
                <w:sz w:val="20"/>
                <w:szCs w:val="20"/>
                <w:vertAlign w:val="superscript"/>
              </w:rPr>
              <w:t>3</w:t>
            </w:r>
            <w:r>
              <w:rPr>
                <w:rFonts w:ascii="Times New Roman" w:hAnsi="Times New Roman"/>
                <w:sz w:val="20"/>
                <w:szCs w:val="20"/>
              </w:rPr>
              <w:t xml:space="preserve">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6809,64</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8361,85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8361,85</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8361,85</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9467,89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9467,89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9467,89</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9467,89</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10867,51</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12583,43</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14299,36</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16015,28</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18303,18</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20019,10</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Об'єкти з управління побутовими відходами</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Бензин А-95, </w:t>
            </w:r>
            <w:r>
              <w:rPr>
                <w:rFonts w:ascii="Times New Roman" w:hAnsi="Times New Roman"/>
                <w:sz w:val="20"/>
                <w:szCs w:val="20"/>
              </w:rPr>
              <w:t>грн/</w:t>
            </w:r>
            <w:r>
              <w:rPr>
                <w:rFonts w:ascii="Times New Roman" w:hAnsi="Times New Roman"/>
                <w:sz w:val="20"/>
                <w:szCs w:val="20"/>
              </w:rPr>
              <w:t>л</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27,82</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30,38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28,09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24,29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30,33</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50,86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52,16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55,49</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62,70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65,80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69,10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72,55</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76,17</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78,00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Дизельне пальне, </w:t>
            </w:r>
            <w:r>
              <w:rPr>
                <w:rFonts w:ascii="Times New Roman" w:hAnsi="Times New Roman"/>
                <w:sz w:val="20"/>
                <w:szCs w:val="20"/>
              </w:rPr>
              <w:t>грн/</w:t>
            </w:r>
            <w:r>
              <w:rPr>
                <w:rFonts w:ascii="Times New Roman" w:hAnsi="Times New Roman"/>
                <w:sz w:val="20"/>
                <w:szCs w:val="20"/>
              </w:rPr>
              <w:t>л</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25,45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29,91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27,45</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22,88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29,24</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54,08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51,33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51,28</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58,00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60,90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64,00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67,20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73,50</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Об’єкти промисловості, сільського господарства, сфери послуг</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грн/кВт*год (з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2,311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2,919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3,185</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5,82</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6,58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7,16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7,76</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7,76</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10,78</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14,37</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17,96</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19,76</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21,56</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Громадський транспорт та відповідна інфраструктура</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Дизельне пальне (врах. у тарифі), грн/л</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20,00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23,00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26,00</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26,00</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27,00</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58,00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58,00</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58,00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60,90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64,00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67,20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73,50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Електроенергія з розподілом, грн/кВт*год</w:t>
            </w:r>
          </w:p>
          <w:p>
            <w:pPr>
              <w:pStyle w:val="Normal"/>
              <w:spacing w:lineRule="auto" w:line="240" w:before="0" w:after="0"/>
              <w:rPr/>
            </w:pPr>
            <w:r>
              <w:rPr>
                <w:rFonts w:ascii="Times New Roman" w:hAnsi="Times New Roman"/>
                <w:sz w:val="20"/>
                <w:szCs w:val="20"/>
              </w:rPr>
              <w:t>(з ПДВ)</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3,00</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3,18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5,50</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6,20</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6,45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8,33</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3,42</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4,32</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8,00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10,00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12,00</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Інший транспорт, в тому числі</w:t>
            </w:r>
          </w:p>
        </w:tc>
      </w:tr>
      <w:tr>
        <w:trPr/>
        <w:tc>
          <w:tcPr>
            <w:tcW w:w="14541" w:type="dxa"/>
            <w:gridSpan w:val="15"/>
            <w:tcBorders>
              <w:start w:val="single" w:sz="4" w:space="0" w:color="000000"/>
              <w:bottom w:val="single" w:sz="4" w:space="0" w:color="000000"/>
              <w:end w:val="single" w:sz="4" w:space="0" w:color="000000"/>
            </w:tcBorders>
            <w:shd w:color="auto" w:fill="DDDDDD" w:val="clear"/>
            <w:vAlign w:val="center"/>
          </w:tcPr>
          <w:p>
            <w:pPr>
              <w:pStyle w:val="Normal"/>
              <w:spacing w:lineRule="auto" w:line="240" w:before="0" w:after="0"/>
              <w:rPr/>
            </w:pPr>
            <w:r>
              <w:rPr>
                <w:rFonts w:ascii="Times New Roman" w:hAnsi="Times New Roman"/>
                <w:sz w:val="20"/>
                <w:szCs w:val="20"/>
              </w:rPr>
              <w:t>Муніципальний транспорт (крім транспорту для громадських перевезень)</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Бензин А-95, </w:t>
            </w:r>
            <w:r>
              <w:rPr>
                <w:rFonts w:ascii="Times New Roman" w:hAnsi="Times New Roman"/>
                <w:sz w:val="20"/>
                <w:szCs w:val="20"/>
              </w:rPr>
              <w:t>грн/</w:t>
            </w:r>
            <w:r>
              <w:rPr>
                <w:rFonts w:ascii="Times New Roman" w:hAnsi="Times New Roman"/>
                <w:sz w:val="20"/>
                <w:szCs w:val="20"/>
              </w:rPr>
              <w:t>л</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27,82</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30,38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28,09</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24,29</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30,33</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50,86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52,16</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55,49</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62,70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65,8</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69,1</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72,55</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76,17</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78,00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Дизельне пальне, </w:t>
            </w:r>
            <w:r>
              <w:rPr>
                <w:rFonts w:ascii="Times New Roman" w:hAnsi="Times New Roman"/>
                <w:sz w:val="20"/>
                <w:szCs w:val="20"/>
              </w:rPr>
              <w:t>грн/</w:t>
            </w:r>
            <w:r>
              <w:rPr>
                <w:rFonts w:ascii="Times New Roman" w:hAnsi="Times New Roman"/>
                <w:sz w:val="20"/>
                <w:szCs w:val="20"/>
              </w:rPr>
              <w:t>л</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25,45</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29,91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27,45</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22,88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29,24</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54,08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51,33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51,28</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58,00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60,9</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64,00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67,20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70,00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73,50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Стиснений газ (метан) (скраплений), </w:t>
            </w:r>
            <w:r>
              <w:rPr>
                <w:rFonts w:ascii="Times New Roman" w:hAnsi="Times New Roman"/>
                <w:sz w:val="20"/>
                <w:szCs w:val="20"/>
              </w:rPr>
              <w:t>грн/</w:t>
            </w:r>
            <w:r>
              <w:rPr>
                <w:rFonts w:ascii="Times New Roman" w:hAnsi="Times New Roman"/>
                <w:sz w:val="20"/>
                <w:szCs w:val="20"/>
              </w:rPr>
              <w:t>л</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12,23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14,14</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12,53</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12,17</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18,63</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28,38</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32,27</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25,87</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29,23</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30,7</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32,25</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33,90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35,60</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36,50</w:t>
            </w:r>
          </w:p>
        </w:tc>
      </w:tr>
      <w:tr>
        <w:trPr/>
        <w:tc>
          <w:tcPr>
            <w:tcW w:w="2444" w:type="dxa"/>
            <w:tcBorders>
              <w:start w:val="single" w:sz="4" w:space="0" w:color="000000"/>
              <w:bottom w:val="single" w:sz="4" w:space="0" w:color="000000"/>
            </w:tcBorders>
            <w:vAlign w:val="center"/>
          </w:tcPr>
          <w:p>
            <w:pPr>
              <w:pStyle w:val="Normal"/>
              <w:spacing w:lineRule="auto" w:line="240" w:before="0" w:after="0"/>
              <w:rPr/>
            </w:pPr>
            <w:r>
              <w:rPr>
                <w:rFonts w:ascii="Times New Roman" w:hAnsi="Times New Roman"/>
                <w:sz w:val="20"/>
                <w:szCs w:val="20"/>
              </w:rPr>
              <w:t xml:space="preserve">Зріджений газ, пропан-бутан,  </w:t>
            </w:r>
            <w:r>
              <w:rPr>
                <w:rFonts w:ascii="Times New Roman" w:hAnsi="Times New Roman"/>
                <w:sz w:val="20"/>
                <w:szCs w:val="20"/>
              </w:rPr>
              <w:t>грн/</w:t>
            </w:r>
            <w:r>
              <w:rPr>
                <w:rFonts w:ascii="Times New Roman" w:hAnsi="Times New Roman"/>
                <w:sz w:val="20"/>
                <w:szCs w:val="20"/>
              </w:rPr>
              <w:t>м</w:t>
            </w:r>
            <w:r>
              <w:rPr>
                <w:rFonts w:ascii="Times New Roman" w:hAnsi="Times New Roman"/>
                <w:sz w:val="20"/>
                <w:szCs w:val="20"/>
                <w:vertAlign w:val="superscript"/>
              </w:rPr>
              <w:t>3</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12,81</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13,57</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12,67</w:t>
            </w:r>
          </w:p>
        </w:tc>
        <w:tc>
          <w:tcPr>
            <w:tcW w:w="862"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12,38</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19,04</w:t>
            </w:r>
          </w:p>
        </w:tc>
        <w:tc>
          <w:tcPr>
            <w:tcW w:w="865"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29,43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29,83</w:t>
            </w:r>
          </w:p>
        </w:tc>
        <w:tc>
          <w:tcPr>
            <w:tcW w:w="864" w:type="dxa"/>
            <w:tcBorders>
              <w:star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20"/>
                <w:szCs w:val="20"/>
              </w:rPr>
              <w:t>35,44</w:t>
            </w:r>
          </w:p>
        </w:tc>
        <w:tc>
          <w:tcPr>
            <w:tcW w:w="862"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40,05</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42,05</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44,20</w:t>
            </w:r>
          </w:p>
        </w:tc>
        <w:tc>
          <w:tcPr>
            <w:tcW w:w="865"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46,40</w:t>
            </w:r>
          </w:p>
        </w:tc>
        <w:tc>
          <w:tcPr>
            <w:tcW w:w="864" w:type="dxa"/>
            <w:tcBorders>
              <w:start w:val="single" w:sz="4" w:space="0" w:color="000000"/>
              <w:bottom w:val="single" w:sz="4" w:space="0" w:color="000000"/>
            </w:tcBorders>
            <w:vAlign w:val="center"/>
          </w:tcPr>
          <w:p>
            <w:pPr>
              <w:pStyle w:val="Style25"/>
              <w:spacing w:before="0" w:after="0"/>
              <w:jc w:val="center"/>
              <w:rPr/>
            </w:pPr>
            <w:r>
              <w:rPr>
                <w:rFonts w:ascii="Times New Roman" w:hAnsi="Times New Roman"/>
                <w:color w:val="000000"/>
                <w:sz w:val="20"/>
                <w:szCs w:val="20"/>
              </w:rPr>
              <w:t>48,35</w:t>
            </w:r>
          </w:p>
        </w:tc>
        <w:tc>
          <w:tcPr>
            <w:tcW w:w="864" w:type="dxa"/>
            <w:tcBorders>
              <w:start w:val="single" w:sz="4" w:space="0" w:color="000000"/>
              <w:bottom w:val="single" w:sz="4" w:space="0" w:color="000000"/>
              <w:end w:val="single" w:sz="4" w:space="0" w:color="000000"/>
            </w:tcBorders>
            <w:vAlign w:val="center"/>
          </w:tcPr>
          <w:p>
            <w:pPr>
              <w:pStyle w:val="Style25"/>
              <w:spacing w:before="0" w:after="0"/>
              <w:jc w:val="center"/>
              <w:rPr/>
            </w:pPr>
            <w:r>
              <w:rPr>
                <w:rFonts w:ascii="Times New Roman" w:hAnsi="Times New Roman"/>
                <w:color w:val="000000"/>
                <w:sz w:val="20"/>
                <w:szCs w:val="20"/>
              </w:rPr>
              <w:t>50,80</w:t>
            </w:r>
          </w:p>
        </w:tc>
      </w:tr>
    </w:tbl>
    <w:p>
      <w:pPr>
        <w:pStyle w:val="Normal"/>
        <w:spacing w:before="0" w:after="200"/>
        <w:rPr>
          <w:rFonts w:ascii="Times New Roman" w:hAnsi="Times New Roman" w:cs="Times New Roman"/>
          <w:b/>
          <w:bCs/>
          <w:sz w:val="28"/>
          <w:szCs w:val="28"/>
        </w:rPr>
      </w:pPr>
      <w:r>
        <w:rPr>
          <w:rFonts w:cs="Times New Roman" w:ascii="Times New Roman" w:hAnsi="Times New Roman"/>
          <w:b/>
          <w:bCs/>
          <w:sz w:val="28"/>
          <w:szCs w:val="28"/>
        </w:rPr>
      </w:r>
    </w:p>
    <w:sectPr>
      <w:headerReference w:type="even" r:id="rId116"/>
      <w:headerReference w:type="default" r:id="rId117"/>
      <w:headerReference w:type="first" r:id="rId118"/>
      <w:footerReference w:type="even" r:id="rId119"/>
      <w:footerReference w:type="default" r:id="rId120"/>
      <w:footerReference w:type="first" r:id="rId121"/>
      <w:type w:val="nextPage"/>
      <w:pgSz w:orient="landscape" w:w="16838" w:h="11906"/>
      <w:pgMar w:left="1134" w:right="1134" w:gutter="0" w:header="0" w:top="1134" w:footer="0" w:bottom="1134"/>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ambria">
    <w:charset w:val="cc" w:characterSet="windows-1251"/>
    <w:family w:val="roman"/>
    <w:pitch w:val="variable"/>
  </w:font>
  <w:font w:name="Times New Roman">
    <w:charset w:val="cc" w:characterSet="windows-1251"/>
    <w:family w:val="roman"/>
    <w:pitch w:val="variable"/>
  </w:font>
  <w:font w:name="OpenSymbol">
    <w:altName w:val="Arial Unicode MS"/>
    <w:charset w:val="cc" w:characterSet="windows-1251"/>
    <w:family w:val="roman"/>
    <w:pitch w:val="variable"/>
  </w:font>
  <w:font w:name="Tahoma">
    <w:charset w:val="cc" w:characterSet="windows-1251"/>
    <w:family w:val="roman"/>
    <w:pitch w:val="variable"/>
  </w:font>
  <w:font w:name="Liberation Sans">
    <w:altName w:val="Arial"/>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end"/>
      <w:rPr/>
    </w:pPr>
    <w:r>
      <w:rPr/>
      <w:fldChar w:fldCharType="begin"/>
    </w:r>
    <w:r>
      <w:rPr/>
      <w:instrText xml:space="preserve"> PAGE </w:instrText>
    </w:r>
    <w:r>
      <w:rPr/>
      <w:fldChar w:fldCharType="separate"/>
    </w:r>
    <w:r>
      <w:rPr/>
      <w:t>19</w:t>
    </w:r>
    <w:r>
      <w:rPr/>
      <w:fldChar w:fldCharType="end"/>
    </w:r>
  </w:p>
  <w:p>
    <w:pPr>
      <w:pStyle w:val="Normal"/>
      <w:spacing w:lineRule="auto" w:line="240" w:before="0" w:after="0"/>
      <w:jc w:val="center"/>
      <w:rPr>
        <w:rFonts w:ascii="Times New Roman" w:hAnsi="Times New Roman" w:eastAsia="NSimSun" w:cs="Times New Roman"/>
        <w:kern w:val="2"/>
        <w:sz w:val="24"/>
        <w:szCs w:val="24"/>
        <w:shd w:fill="FFFFFF" w:val="clear"/>
        <w:lang w:eastAsia="zh-CN" w:bidi="hi-IN"/>
      </w:rPr>
    </w:pPr>
    <w:r>
      <w:rPr>
        <w:rFonts w:eastAsia="NSimSun" w:cs="Times New Roman" w:ascii="Times New Roman" w:hAnsi="Times New Roman"/>
        <w:kern w:val="2"/>
        <w:sz w:val="24"/>
        <w:szCs w:val="24"/>
        <w:shd w:fill="FFFFFF" w:val="clear"/>
        <w:lang w:eastAsia="zh-CN" w:bidi="hi-IN"/>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end"/>
      <w:rPr/>
    </w:pPr>
    <w:r>
      <w:rPr/>
      <w:fldChar w:fldCharType="begin"/>
    </w:r>
    <w:r>
      <w:rPr/>
      <w:instrText xml:space="preserve"> PAGE </w:instrText>
    </w:r>
    <w:r>
      <w:rPr/>
      <w:fldChar w:fldCharType="separate"/>
    </w:r>
    <w:r>
      <w:rPr/>
      <w:t>0</w:t>
    </w:r>
    <w:r>
      <w:rPr/>
      <w:fldChar w:fldCharType="end"/>
    </w:r>
  </w:p>
  <w:p>
    <w:pPr>
      <w:pStyle w:val="14"/>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end"/>
      <w:rPr/>
    </w:pPr>
    <w:r>
      <w:rPr/>
      <w:fldChar w:fldCharType="begin"/>
    </w:r>
    <w:r>
      <w:rPr/>
      <w:instrText xml:space="preserve"> PAGE </w:instrText>
    </w:r>
    <w:r>
      <w:rPr/>
      <w:fldChar w:fldCharType="separate"/>
    </w:r>
    <w:r>
      <w:rPr/>
      <w:t>26</w:t>
    </w:r>
    <w:r>
      <w:rPr/>
      <w:fldChar w:fldCharType="end"/>
    </w:r>
  </w:p>
  <w:p>
    <w:pPr>
      <w:pStyle w:val="14"/>
      <w:spacing w:before="0" w:after="20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59043483"/>
    </w:sdtPr>
    <w:sdtContent>
      <w:p>
        <w:pPr>
          <w:pStyle w:val="14"/>
          <w:jc w:val="end"/>
          <w:rPr/>
        </w:pPr>
        <w:r>
          <w:rPr/>
          <w:fldChar w:fldCharType="begin"/>
        </w:r>
        <w:r>
          <w:rPr/>
          <w:instrText xml:space="preserve"> PAGE </w:instrText>
        </w:r>
        <w:r>
          <w:rPr/>
          <w:fldChar w:fldCharType="separate"/>
        </w:r>
        <w:r>
          <w:rPr/>
          <w:t>20</w:t>
        </w:r>
        <w:r>
          <w:rPr/>
          <w:fldChar w:fldCharType="end"/>
        </w:r>
      </w:p>
    </w:sdtContent>
  </w:sdt>
  <w:p>
    <w:pPr>
      <w:pStyle w:val="14"/>
      <w:spacing w:before="0" w:after="20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16362336"/>
    </w:sdtPr>
    <w:sdtContent>
      <w:p>
        <w:pPr>
          <w:pStyle w:val="14"/>
          <w:jc w:val="end"/>
          <w:rPr/>
        </w:pPr>
        <w:r>
          <w:rPr/>
          <w:fldChar w:fldCharType="begin"/>
        </w:r>
        <w:r>
          <w:rPr/>
          <w:instrText xml:space="preserve"> PAGE </w:instrText>
        </w:r>
        <w:r>
          <w:rPr/>
          <w:fldChar w:fldCharType="separate"/>
        </w:r>
        <w:r>
          <w:rPr/>
          <w:t>0</w:t>
        </w:r>
        <w:r>
          <w:rPr/>
          <w:fldChar w:fldCharType="end"/>
        </w:r>
      </w:p>
    </w:sdtContent>
  </w:sdt>
  <w:p>
    <w:pPr>
      <w:pStyle w:val="Normal"/>
      <w:spacing w:before="0" w:after="20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3688553"/>
    </w:sdtPr>
    <w:sdtContent>
      <w:p>
        <w:pPr>
          <w:pStyle w:val="14"/>
          <w:jc w:val="end"/>
          <w:rPr/>
        </w:pPr>
        <w:r>
          <w:rPr/>
          <w:fldChar w:fldCharType="begin"/>
        </w:r>
        <w:r>
          <w:rPr/>
          <w:instrText xml:space="preserve"> PAGE </w:instrText>
        </w:r>
        <w:r>
          <w:rPr/>
          <w:fldChar w:fldCharType="separate"/>
        </w:r>
        <w:r>
          <w:rPr/>
          <w:t>33</w:t>
        </w:r>
        <w:r>
          <w:rPr/>
          <w:fldChar w:fldCharType="end"/>
        </w:r>
      </w:p>
    </w:sdtContent>
  </w:sdt>
  <w:p>
    <w:pPr>
      <w:pStyle w:val="Normal"/>
      <w:spacing w:before="0" w:after="200"/>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3688553"/>
    </w:sdtPr>
    <w:sdtContent>
      <w:p>
        <w:pPr>
          <w:pStyle w:val="14"/>
          <w:jc w:val="end"/>
          <w:rPr/>
        </w:pPr>
        <w:r>
          <w:rPr/>
          <w:fldChar w:fldCharType="begin"/>
        </w:r>
        <w:r>
          <w:rPr/>
          <w:instrText xml:space="preserve"> PAGE </w:instrText>
        </w:r>
        <w:r>
          <w:rPr/>
          <w:fldChar w:fldCharType="separate"/>
        </w:r>
        <w:r>
          <w:rPr/>
          <w:t>33</w:t>
        </w:r>
        <w:r>
          <w:rPr/>
          <w:fldChar w:fldCharType="end"/>
        </w:r>
      </w:p>
    </w:sdtContent>
  </w:sdt>
  <w:p>
    <w:pPr>
      <w:pStyle w:val="Normal"/>
      <w:spacing w:before="0" w:after="20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8815905"/>
    </w:sdtPr>
    <w:sdtContent>
      <w:p>
        <w:pPr>
          <w:pStyle w:val="14"/>
          <w:jc w:val="end"/>
          <w:rPr/>
        </w:pPr>
        <w:r>
          <w:rPr/>
          <w:fldChar w:fldCharType="begin"/>
        </w:r>
        <w:r>
          <w:rPr/>
          <w:instrText xml:space="preserve"> PAGE </w:instrText>
        </w:r>
        <w:r>
          <w:rPr/>
          <w:fldChar w:fldCharType="separate"/>
        </w:r>
        <w:r>
          <w:rPr/>
          <w:t>0</w:t>
        </w:r>
        <w:r>
          <w:rPr/>
          <w:fldChar w:fldCharType="end"/>
        </w:r>
      </w:p>
    </w:sdtContent>
  </w:sdt>
  <w:p>
    <w:pPr>
      <w:pStyle w:val="BodyText"/>
      <w:spacing w:lineRule="atLeast" w:line="0" w:before="0" w:after="140"/>
      <w:rPr>
        <w:sz w:val="14"/>
      </w:rPr>
    </w:pPr>
    <w:r>
      <w:rPr>
        <w:sz w:val="14"/>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24446781"/>
    </w:sdtPr>
    <w:sdtContent>
      <w:p>
        <w:pPr>
          <w:pStyle w:val="14"/>
          <w:jc w:val="end"/>
          <w:rPr/>
        </w:pPr>
        <w:r>
          <w:rPr/>
          <w:fldChar w:fldCharType="begin"/>
        </w:r>
        <w:r>
          <w:rPr/>
          <w:instrText xml:space="preserve"> PAGE </w:instrText>
        </w:r>
        <w:r>
          <w:rPr/>
          <w:fldChar w:fldCharType="separate"/>
        </w:r>
        <w:r>
          <w:rPr/>
          <w:t>40</w:t>
        </w:r>
        <w:r>
          <w:rPr/>
          <w:fldChar w:fldCharType="end"/>
        </w:r>
      </w:p>
    </w:sdtContent>
  </w:sdt>
  <w:p>
    <w:pPr>
      <w:pStyle w:val="BodyText"/>
      <w:spacing w:lineRule="atLeast" w:line="0" w:before="0" w:after="140"/>
      <w:rPr>
        <w:sz w:val="14"/>
      </w:rPr>
    </w:pPr>
    <w:r>
      <w:rPr>
        <w:sz w:val="14"/>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24446781"/>
    </w:sdtPr>
    <w:sdtContent>
      <w:p>
        <w:pPr>
          <w:pStyle w:val="14"/>
          <w:jc w:val="end"/>
          <w:rPr/>
        </w:pPr>
        <w:r>
          <w:rPr/>
          <w:fldChar w:fldCharType="begin"/>
        </w:r>
        <w:r>
          <w:rPr/>
          <w:instrText xml:space="preserve"> PAGE </w:instrText>
        </w:r>
        <w:r>
          <w:rPr/>
          <w:fldChar w:fldCharType="separate"/>
        </w:r>
        <w:r>
          <w:rPr/>
          <w:t>40</w:t>
        </w:r>
        <w:r>
          <w:rPr/>
          <w:fldChar w:fldCharType="end"/>
        </w:r>
      </w:p>
    </w:sdtContent>
  </w:sdt>
  <w:p>
    <w:pPr>
      <w:pStyle w:val="BodyText"/>
      <w:spacing w:lineRule="atLeast" w:line="0" w:before="0" w:after="140"/>
      <w:rPr>
        <w:sz w:val="14"/>
      </w:rPr>
    </w:pPr>
    <w:r>
      <w:rPr>
        <w:sz w:val="14"/>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88780321"/>
    </w:sdtPr>
    <w:sdtContent>
      <w:p>
        <w:pPr>
          <w:pStyle w:val="14"/>
          <w:jc w:val="end"/>
          <w:rPr/>
        </w:pPr>
        <w:r>
          <w:rPr/>
          <w:fldChar w:fldCharType="begin"/>
        </w:r>
        <w:r>
          <w:rPr/>
          <w:instrText xml:space="preserve"> PAGE </w:instrText>
        </w:r>
        <w:r>
          <w:rPr/>
          <w:fldChar w:fldCharType="separate"/>
        </w:r>
        <w:r>
          <w:rPr/>
          <w:t>0</w:t>
        </w:r>
        <w:r>
          <w:rPr/>
          <w:fldChar w:fldCharType="end"/>
        </w:r>
      </w:p>
    </w:sdtContent>
  </w:sdt>
  <w:p>
    <w:pPr>
      <w:pStyle w:val="BodyText"/>
      <w:spacing w:lineRule="atLeast" w:line="0" w:before="0" w:after="140"/>
      <w:rPr>
        <w:sz w:val="14"/>
      </w:rPr>
    </w:pPr>
    <w:r>
      <w:rPr>
        <w:sz w:val="14"/>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24190125"/>
    </w:sdtPr>
    <w:sdtContent>
      <w:p>
        <w:pPr>
          <w:pStyle w:val="14"/>
          <w:jc w:val="end"/>
          <w:rPr/>
        </w:pPr>
        <w:r>
          <w:rPr/>
          <w:fldChar w:fldCharType="begin"/>
        </w:r>
        <w:r>
          <w:rPr/>
          <w:instrText xml:space="preserve"> PAGE </w:instrText>
        </w:r>
        <w:r>
          <w:rPr/>
          <w:fldChar w:fldCharType="separate"/>
        </w:r>
        <w:r>
          <w:rPr/>
          <w:t>50</w:t>
        </w:r>
        <w:r>
          <w:rPr/>
          <w:fldChar w:fldCharType="end"/>
        </w:r>
      </w:p>
    </w:sdtContent>
  </w:sdt>
  <w:p>
    <w:pPr>
      <w:pStyle w:val="BodyText"/>
      <w:spacing w:lineRule="atLeast" w:line="0" w:before="0" w:after="140"/>
      <w:rPr>
        <w:sz w:val="14"/>
      </w:rPr>
    </w:pPr>
    <w:r>
      <w:rPr>
        <w:sz w:val="14"/>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24190125"/>
    </w:sdtPr>
    <w:sdtContent>
      <w:p>
        <w:pPr>
          <w:pStyle w:val="14"/>
          <w:jc w:val="end"/>
          <w:rPr/>
        </w:pPr>
        <w:r>
          <w:rPr/>
          <w:fldChar w:fldCharType="begin"/>
        </w:r>
        <w:r>
          <w:rPr/>
          <w:instrText xml:space="preserve"> PAGE </w:instrText>
        </w:r>
        <w:r>
          <w:rPr/>
          <w:fldChar w:fldCharType="separate"/>
        </w:r>
        <w:r>
          <w:rPr/>
          <w:t>50</w:t>
        </w:r>
        <w:r>
          <w:rPr/>
          <w:fldChar w:fldCharType="end"/>
        </w:r>
      </w:p>
    </w:sdtContent>
  </w:sdt>
  <w:p>
    <w:pPr>
      <w:pStyle w:val="BodyText"/>
      <w:spacing w:lineRule="atLeast" w:line="0" w:before="0" w:after="140"/>
      <w:rPr>
        <w:sz w:val="14"/>
      </w:rPr>
    </w:pPr>
    <w:r>
      <w:rPr>
        <w:sz w:val="14"/>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74502120"/>
    </w:sdtPr>
    <w:sdtContent>
      <w:p>
        <w:pPr>
          <w:pStyle w:val="14"/>
          <w:jc w:val="end"/>
          <w:rPr/>
        </w:pPr>
        <w:r>
          <w:rPr/>
          <w:fldChar w:fldCharType="begin"/>
        </w:r>
        <w:r>
          <w:rPr/>
          <w:instrText xml:space="preserve"> PAGE </w:instrText>
        </w:r>
        <w:r>
          <w:rPr/>
          <w:fldChar w:fldCharType="separate"/>
        </w:r>
        <w:r>
          <w:rPr/>
          <w:t>0</w:t>
        </w:r>
        <w:r>
          <w:rPr/>
          <w:fldChar w:fldCharType="end"/>
        </w:r>
      </w:p>
    </w:sdtContent>
  </w:sdt>
  <w:p>
    <w:pPr>
      <w:pStyle w:val="Normal"/>
      <w:spacing w:before="0" w:after="200"/>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27127825"/>
    </w:sdtPr>
    <w:sdtContent>
      <w:p>
        <w:pPr>
          <w:pStyle w:val="14"/>
          <w:jc w:val="end"/>
          <w:rPr/>
        </w:pPr>
        <w:r>
          <w:rPr/>
          <w:fldChar w:fldCharType="begin"/>
        </w:r>
        <w:r>
          <w:rPr/>
          <w:instrText xml:space="preserve"> PAGE </w:instrText>
        </w:r>
        <w:r>
          <w:rPr/>
          <w:fldChar w:fldCharType="separate"/>
        </w:r>
        <w:r>
          <w:rPr/>
          <w:t>57</w:t>
        </w:r>
        <w:r>
          <w:rPr/>
          <w:fldChar w:fldCharType="end"/>
        </w:r>
      </w:p>
    </w:sdtContent>
  </w:sdt>
  <w:p>
    <w:pPr>
      <w:pStyle w:val="Normal"/>
      <w:spacing w:before="0" w:after="200"/>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27127825"/>
    </w:sdtPr>
    <w:sdtContent>
      <w:p>
        <w:pPr>
          <w:pStyle w:val="14"/>
          <w:jc w:val="end"/>
          <w:rPr/>
        </w:pPr>
        <w:r>
          <w:rPr/>
          <w:fldChar w:fldCharType="begin"/>
        </w:r>
        <w:r>
          <w:rPr/>
          <w:instrText xml:space="preserve"> PAGE </w:instrText>
        </w:r>
        <w:r>
          <w:rPr/>
          <w:fldChar w:fldCharType="separate"/>
        </w:r>
        <w:r>
          <w:rPr/>
          <w:t>57</w:t>
        </w:r>
        <w:r>
          <w:rPr/>
          <w:fldChar w:fldCharType="end"/>
        </w:r>
      </w:p>
    </w:sdtContent>
  </w:sdt>
  <w:p>
    <w:pPr>
      <w:pStyle w:val="Normal"/>
      <w:spacing w:before="0" w:after="200"/>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end"/>
      <w:rPr/>
    </w:pPr>
    <w:r>
      <w:rPr/>
      <w:fldChar w:fldCharType="begin"/>
    </w:r>
    <w:r>
      <w:rPr/>
      <w:instrText xml:space="preserve"> PAGE </w:instrText>
    </w:r>
    <w:r>
      <w:rPr/>
      <w:fldChar w:fldCharType="separate"/>
    </w:r>
    <w:r>
      <w:rPr/>
      <w:t>0</w:t>
    </w:r>
    <w:r>
      <w:rPr/>
      <w:fldChar w:fldCharType="end"/>
    </w:r>
  </w:p>
  <w:p>
    <w:pPr>
      <w:pStyle w:val="14"/>
      <w:spacing w:before="0" w:after="200"/>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end"/>
      <w:rPr/>
    </w:pPr>
    <w:r>
      <w:rPr/>
      <w:fldChar w:fldCharType="begin"/>
    </w:r>
    <w:r>
      <w:rPr/>
      <w:instrText xml:space="preserve"> PAGE </w:instrText>
    </w:r>
    <w:r>
      <w:rPr/>
      <w:fldChar w:fldCharType="separate"/>
    </w:r>
    <w:r>
      <w:rPr/>
      <w:t>99</w:t>
    </w:r>
    <w:r>
      <w:rPr/>
      <w:fldChar w:fldCharType="end"/>
    </w:r>
  </w:p>
  <w:p>
    <w:pPr>
      <w:pStyle w:val="14"/>
      <w:spacing w:before="0" w:after="200"/>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4"/>
      <w:jc w:val="end"/>
      <w:rPr/>
    </w:pPr>
    <w:r>
      <w:rPr/>
      <w:fldChar w:fldCharType="begin"/>
    </w:r>
    <w:r>
      <w:rPr/>
      <w:instrText xml:space="preserve"> PAGE </w:instrText>
    </w:r>
    <w:r>
      <w:rPr/>
      <w:fldChar w:fldCharType="separate"/>
    </w:r>
    <w:r>
      <w:rPr/>
      <w:t>99</w:t>
    </w:r>
    <w:r>
      <w:rPr/>
      <w:fldChar w:fldCharType="end"/>
    </w:r>
  </w:p>
  <w:p>
    <w:pPr>
      <w:pStyle w:val="14"/>
      <w:spacing w:before="0" w:after="200"/>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74803862"/>
    </w:sdtPr>
    <w:sdtContent>
      <w:p>
        <w:pPr>
          <w:pStyle w:val="14"/>
          <w:jc w:val="end"/>
          <w:rPr/>
        </w:pPr>
        <w:r>
          <w:rPr/>
          <w:fldChar w:fldCharType="begin"/>
        </w:r>
        <w:r>
          <w:rPr/>
          <w:instrText xml:space="preserve"> PAGE </w:instrText>
        </w:r>
        <w:r>
          <w:rPr/>
          <w:fldChar w:fldCharType="separate"/>
        </w:r>
        <w:r>
          <w:rPr/>
          <w:t>0</w:t>
        </w:r>
        <w:r>
          <w:rPr/>
          <w:fldChar w:fldCharType="end"/>
        </w:r>
      </w:p>
    </w:sdtContent>
  </w:sdt>
  <w:p>
    <w:pPr>
      <w:pStyle w:val="Normal"/>
      <w:spacing w:before="0" w:after="200"/>
      <w:rPr/>
    </w:pPr>
    <w:r>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69040536"/>
    </w:sdtPr>
    <w:sdtContent>
      <w:p>
        <w:pPr>
          <w:pStyle w:val="14"/>
          <w:jc w:val="end"/>
          <w:rPr/>
        </w:pPr>
        <w:r>
          <w:rPr/>
          <w:fldChar w:fldCharType="begin"/>
        </w:r>
        <w:r>
          <w:rPr/>
          <w:instrText xml:space="preserve"> PAGE </w:instrText>
        </w:r>
        <w:r>
          <w:rPr/>
          <w:fldChar w:fldCharType="separate"/>
        </w:r>
        <w:r>
          <w:rPr/>
          <w:t>101</w:t>
        </w:r>
        <w:r>
          <w:rPr/>
          <w:fldChar w:fldCharType="end"/>
        </w:r>
      </w:p>
    </w:sdtContent>
  </w:sdt>
  <w:p>
    <w:pPr>
      <w:pStyle w:val="Normal"/>
      <w:spacing w:before="0" w:after="200"/>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69040536"/>
    </w:sdtPr>
    <w:sdtContent>
      <w:p>
        <w:pPr>
          <w:pStyle w:val="14"/>
          <w:jc w:val="end"/>
          <w:rPr/>
        </w:pPr>
        <w:r>
          <w:rPr/>
          <w:fldChar w:fldCharType="begin"/>
        </w:r>
        <w:r>
          <w:rPr/>
          <w:instrText xml:space="preserve"> PAGE </w:instrText>
        </w:r>
        <w:r>
          <w:rPr/>
          <w:fldChar w:fldCharType="separate"/>
        </w:r>
        <w:r>
          <w:rPr/>
          <w:t>101</w:t>
        </w:r>
        <w:r>
          <w:rPr/>
          <w:fldChar w:fldCharType="end"/>
        </w:r>
      </w:p>
    </w:sdtContent>
  </w:sdt>
  <w:p>
    <w:pPr>
      <w:pStyle w:val="Normal"/>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star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sz w:val="24"/>
        <w:szCs w:val="24"/>
        <w:rFonts w:ascii="Times New Roman" w:hAnsi="Times New Roman"/>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1287" w:hanging="360"/>
      </w:pPr>
      <w:rPr>
        <w:rFonts w:ascii="Times New Roman" w:hAnsi="Times New Roman"/>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3">
    <w:lvl w:ilvl="0">
      <w:start w:val="1"/>
      <w:numFmt w:val="decimal"/>
      <w:lvlText w:val="2.%1."/>
      <w:lvlJc w:val="start"/>
      <w:pPr>
        <w:tabs>
          <w:tab w:val="num" w:pos="0"/>
        </w:tabs>
        <w:ind w:start="720" w:hanging="360"/>
      </w:pPr>
      <w:rPr>
        <w:b/>
        <w:bCs/>
        <w:rFonts w:ascii="Times New Roman" w:hAnsi="Times New Roman"/>
        <w:color w:val="000000"/>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decimal"/>
      <w:lvlText w:val="5.%1."/>
      <w:lvlJc w:val="start"/>
      <w:pPr>
        <w:tabs>
          <w:tab w:val="num" w:pos="0"/>
        </w:tabs>
        <w:ind w:start="720" w:hanging="360"/>
      </w:pPr>
      <w:rPr>
        <w:sz w:val="24"/>
        <w:b/>
        <w:szCs w:val="24"/>
        <w:bCs/>
        <w:rFonts w:ascii="Times New Roman" w:hAnsi="Times New Roman"/>
        <w:color w:val="000000"/>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2"/>
      <w:numFmt w:val="decimal"/>
      <w:lvlText w:val="%1."/>
      <w:lvlJc w:val="start"/>
      <w:pPr>
        <w:tabs>
          <w:tab w:val="num" w:pos="0"/>
        </w:tabs>
        <w:ind w:start="450" w:hanging="450"/>
      </w:pPr>
      <w:rPr/>
    </w:lvl>
    <w:lvl w:ilvl="1">
      <w:start w:val="5"/>
      <w:numFmt w:val="decimal"/>
      <w:lvlText w:val="%1.%2."/>
      <w:lvlJc w:val="start"/>
      <w:pPr>
        <w:tabs>
          <w:tab w:val="num" w:pos="0"/>
        </w:tabs>
        <w:ind w:start="1429" w:hanging="720"/>
      </w:pPr>
      <w:rPr>
        <w:sz w:val="24"/>
        <w:b/>
        <w:szCs w:val="24"/>
        <w:bCs/>
        <w:rFonts w:ascii="Times New Roman" w:hAnsi="Times New Roman"/>
        <w:color w:val="000000"/>
      </w:rPr>
    </w:lvl>
    <w:lvl w:ilvl="2">
      <w:start w:val="1"/>
      <w:numFmt w:val="decimal"/>
      <w:lvlText w:val="%1.%2.%3."/>
      <w:lvlJc w:val="start"/>
      <w:pPr>
        <w:tabs>
          <w:tab w:val="num" w:pos="0"/>
        </w:tabs>
        <w:ind w:start="2138" w:hanging="720"/>
      </w:pPr>
      <w:rPr/>
    </w:lvl>
    <w:lvl w:ilvl="3">
      <w:start w:val="1"/>
      <w:numFmt w:val="decimal"/>
      <w:lvlText w:val="%1.%2.%3.%4."/>
      <w:lvlJc w:val="start"/>
      <w:pPr>
        <w:tabs>
          <w:tab w:val="num" w:pos="0"/>
        </w:tabs>
        <w:ind w:start="3207" w:hanging="1080"/>
      </w:pPr>
      <w:rPr/>
    </w:lvl>
    <w:lvl w:ilvl="4">
      <w:start w:val="1"/>
      <w:numFmt w:val="decimal"/>
      <w:lvlText w:val="%1.%2.%3.%4.%5."/>
      <w:lvlJc w:val="start"/>
      <w:pPr>
        <w:tabs>
          <w:tab w:val="num" w:pos="0"/>
        </w:tabs>
        <w:ind w:start="3916" w:hanging="1080"/>
      </w:pPr>
      <w:rPr/>
    </w:lvl>
    <w:lvl w:ilvl="5">
      <w:start w:val="1"/>
      <w:numFmt w:val="decimal"/>
      <w:lvlText w:val="%1.%2.%3.%4.%5.%6."/>
      <w:lvlJc w:val="start"/>
      <w:pPr>
        <w:tabs>
          <w:tab w:val="num" w:pos="0"/>
        </w:tabs>
        <w:ind w:start="4985" w:hanging="1440"/>
      </w:pPr>
      <w:rPr/>
    </w:lvl>
    <w:lvl w:ilvl="6">
      <w:start w:val="1"/>
      <w:numFmt w:val="decimal"/>
      <w:lvlText w:val="%1.%2.%3.%4.%5.%6.%7."/>
      <w:lvlJc w:val="start"/>
      <w:pPr>
        <w:tabs>
          <w:tab w:val="num" w:pos="0"/>
        </w:tabs>
        <w:ind w:start="6054" w:hanging="1800"/>
      </w:pPr>
      <w:rPr/>
    </w:lvl>
    <w:lvl w:ilvl="7">
      <w:start w:val="1"/>
      <w:numFmt w:val="decimal"/>
      <w:lvlText w:val="%1.%2.%3.%4.%5.%6.%7.%8."/>
      <w:lvlJc w:val="start"/>
      <w:pPr>
        <w:tabs>
          <w:tab w:val="num" w:pos="0"/>
        </w:tabs>
        <w:ind w:start="6763" w:hanging="1800"/>
      </w:pPr>
      <w:rPr/>
    </w:lvl>
    <w:lvl w:ilvl="8">
      <w:start w:val="1"/>
      <w:numFmt w:val="decimal"/>
      <w:lvlText w:val="%1.%2.%3.%4.%5.%6.%7.%8.%9."/>
      <w:lvlJc w:val="start"/>
      <w:pPr>
        <w:tabs>
          <w:tab w:val="num" w:pos="0"/>
        </w:tabs>
        <w:ind w:start="7832" w:hanging="2160"/>
      </w:pPr>
      <w:rPr/>
    </w:lvl>
  </w:abstractNum>
  <w:abstractNum w:abstractNumId="6">
    <w:lvl w:ilvl="0">
      <w:start w:val="1"/>
      <w:numFmt w:val="decimal"/>
      <w:lvlText w:val="%1)"/>
      <w:lvlJc w:val="start"/>
      <w:pPr>
        <w:tabs>
          <w:tab w:val="num" w:pos="720"/>
        </w:tabs>
        <w:ind w:start="720" w:hanging="360"/>
      </w:pPr>
      <w:rPr>
        <w:rFonts w:ascii="Times New Roman" w:hAnsi="Times New Roman"/>
      </w:rPr>
    </w:lvl>
    <w:lvl w:ilvl="1">
      <w:start w:val="1"/>
      <w:numFmt w:val="decimal"/>
      <w:lvlText w:val="%2."/>
      <w:lvlJc w:val="start"/>
      <w:pPr>
        <w:tabs>
          <w:tab w:val="num" w:pos="1080"/>
        </w:tabs>
        <w:ind w:start="1080" w:hanging="360"/>
      </w:pPr>
      <w:rPr>
        <w:rFonts w:ascii="Times New Roman" w:hAnsi="Times New Roman"/>
      </w:rPr>
    </w:lvl>
    <w:lvl w:ilvl="2">
      <w:start w:val="1"/>
      <w:numFmt w:val="decimal"/>
      <w:lvlText w:val="%3."/>
      <w:lvlJc w:val="start"/>
      <w:pPr>
        <w:tabs>
          <w:tab w:val="num" w:pos="1440"/>
        </w:tabs>
        <w:ind w:start="1440" w:hanging="360"/>
      </w:pPr>
      <w:rPr>
        <w:rFonts w:ascii="Times New Roman" w:hAnsi="Times New Roman"/>
      </w:rPr>
    </w:lvl>
    <w:lvl w:ilvl="3">
      <w:start w:val="1"/>
      <w:numFmt w:val="decimal"/>
      <w:lvlText w:val="%4."/>
      <w:lvlJc w:val="start"/>
      <w:pPr>
        <w:tabs>
          <w:tab w:val="num" w:pos="1800"/>
        </w:tabs>
        <w:ind w:start="1800" w:hanging="360"/>
      </w:pPr>
      <w:rPr>
        <w:rFonts w:ascii="Times New Roman" w:hAnsi="Times New Roman"/>
      </w:rPr>
    </w:lvl>
    <w:lvl w:ilvl="4">
      <w:start w:val="1"/>
      <w:numFmt w:val="decimal"/>
      <w:lvlText w:val="%5."/>
      <w:lvlJc w:val="start"/>
      <w:pPr>
        <w:tabs>
          <w:tab w:val="num" w:pos="2160"/>
        </w:tabs>
        <w:ind w:start="2160" w:hanging="360"/>
      </w:pPr>
      <w:rPr>
        <w:rFonts w:ascii="Times New Roman" w:hAnsi="Times New Roman"/>
      </w:rPr>
    </w:lvl>
    <w:lvl w:ilvl="5">
      <w:start w:val="1"/>
      <w:numFmt w:val="decimal"/>
      <w:lvlText w:val="%6."/>
      <w:lvlJc w:val="start"/>
      <w:pPr>
        <w:tabs>
          <w:tab w:val="num" w:pos="2520"/>
        </w:tabs>
        <w:ind w:start="2520" w:hanging="360"/>
      </w:pPr>
      <w:rPr>
        <w:rFonts w:ascii="Times New Roman" w:hAnsi="Times New Roman"/>
      </w:rPr>
    </w:lvl>
    <w:lvl w:ilvl="6">
      <w:start w:val="1"/>
      <w:numFmt w:val="decimal"/>
      <w:lvlText w:val="%7."/>
      <w:lvlJc w:val="start"/>
      <w:pPr>
        <w:tabs>
          <w:tab w:val="num" w:pos="2880"/>
        </w:tabs>
        <w:ind w:start="2880" w:hanging="360"/>
      </w:pPr>
      <w:rPr>
        <w:rFonts w:ascii="Times New Roman" w:hAnsi="Times New Roman"/>
      </w:rPr>
    </w:lvl>
    <w:lvl w:ilvl="7">
      <w:start w:val="1"/>
      <w:numFmt w:val="decimal"/>
      <w:lvlText w:val="%8."/>
      <w:lvlJc w:val="start"/>
      <w:pPr>
        <w:tabs>
          <w:tab w:val="num" w:pos="3240"/>
        </w:tabs>
        <w:ind w:start="3240" w:hanging="360"/>
      </w:pPr>
      <w:rPr>
        <w:rFonts w:ascii="Times New Roman" w:hAnsi="Times New Roman"/>
      </w:rPr>
    </w:lvl>
    <w:lvl w:ilvl="8">
      <w:start w:val="1"/>
      <w:numFmt w:val="decimal"/>
      <w:lvlText w:val="%9."/>
      <w:lvlJc w:val="start"/>
      <w:pPr>
        <w:tabs>
          <w:tab w:val="num" w:pos="3600"/>
        </w:tabs>
        <w:ind w:start="3600" w:hanging="360"/>
      </w:pPr>
      <w:rPr>
        <w:rFonts w:ascii="Times New Roman" w:hAnsi="Times New Roman"/>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08"/>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uk-UA"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55cd3"/>
    <w:pPr>
      <w:widowControl/>
      <w:suppressAutoHyphens w:val="true"/>
      <w:bidi w:val="0"/>
      <w:spacing w:lineRule="auto" w:line="276" w:before="0" w:after="200"/>
      <w:jc w:val="start"/>
    </w:pPr>
    <w:rPr>
      <w:rFonts w:ascii="Calibri" w:hAnsi="Calibri" w:eastAsia="Calibri" w:cs="Tahoma"/>
      <w:color w:val="auto"/>
      <w:kern w:val="0"/>
      <w:sz w:val="22"/>
      <w:szCs w:val="22"/>
      <w:lang w:val="uk-UA" w:eastAsia="en-US" w:bidi="ar-SA"/>
    </w:rPr>
  </w:style>
  <w:style w:type="character" w:styleId="DefaultParagraphFont" w:default="1">
    <w:name w:val="Default Paragraph Font"/>
    <w:uiPriority w:val="1"/>
    <w:semiHidden/>
    <w:unhideWhenUsed/>
    <w:qFormat/>
    <w:rPr/>
  </w:style>
  <w:style w:type="character" w:styleId="InternetLink" w:customStyle="1">
    <w:name w:val="Internet Link"/>
    <w:uiPriority w:val="99"/>
    <w:qFormat/>
    <w:rsid w:val="00755cd3"/>
    <w:rPr>
      <w:color w:val="000080"/>
      <w:u w:val="single"/>
    </w:rPr>
  </w:style>
  <w:style w:type="character" w:styleId="1" w:customStyle="1">
    <w:name w:val="Заголовок 1 Знак"/>
    <w:basedOn w:val="DefaultParagraphFont"/>
    <w:link w:val="111"/>
    <w:qFormat/>
    <w:rsid w:val="00755cd3"/>
    <w:rPr>
      <w:rFonts w:ascii="Cambria" w:hAnsi="Cambria" w:eastAsia="Calibri" w:cs="Tahoma"/>
      <w:color w:themeColor="accent1" w:themeShade="bf" w:val="365F91"/>
      <w:sz w:val="32"/>
      <w:szCs w:val="32"/>
    </w:rPr>
  </w:style>
  <w:style w:type="character" w:styleId="Style14" w:customStyle="1">
    <w:name w:val="Посилання покажчика"/>
    <w:qFormat/>
    <w:rsid w:val="00755cd3"/>
    <w:rPr/>
  </w:style>
  <w:style w:type="character" w:styleId="Style15" w:customStyle="1">
    <w:name w:val="Символ нумерації"/>
    <w:qFormat/>
    <w:rsid w:val="00755cd3"/>
    <w:rPr>
      <w:rFonts w:ascii="Times New Roman" w:hAnsi="Times New Roman"/>
    </w:rPr>
  </w:style>
  <w:style w:type="character" w:styleId="Style16" w:customStyle="1">
    <w:name w:val="Нижній колонтитул Знак"/>
    <w:basedOn w:val="DefaultParagraphFont"/>
    <w:link w:val="14"/>
    <w:uiPriority w:val="99"/>
    <w:qFormat/>
    <w:rsid w:val="00755cd3"/>
    <w:rPr/>
  </w:style>
  <w:style w:type="character" w:styleId="Hps" w:customStyle="1">
    <w:name w:val="hps"/>
    <w:basedOn w:val="DefaultParagraphFont"/>
    <w:qFormat/>
    <w:rsid w:val="00755cd3"/>
    <w:rPr>
      <w:rFonts w:cs="Times New Roman"/>
    </w:rPr>
  </w:style>
  <w:style w:type="character" w:styleId="Fontstyle01" w:customStyle="1">
    <w:name w:val="fontstyle01"/>
    <w:qFormat/>
    <w:rsid w:val="00755cd3"/>
    <w:rPr>
      <w:rFonts w:ascii="Times New Roman" w:hAnsi="Times New Roman" w:cs="Times New Roman"/>
      <w:b w:val="false"/>
      <w:bCs w:val="false"/>
      <w:i w:val="false"/>
      <w:iCs w:val="false"/>
      <w:color w:val="000000"/>
      <w:sz w:val="28"/>
      <w:szCs w:val="28"/>
    </w:rPr>
  </w:style>
  <w:style w:type="character" w:styleId="WW-" w:customStyle="1">
    <w:name w:val="WW-Виділення"/>
    <w:qFormat/>
    <w:rsid w:val="00755cd3"/>
    <w:rPr>
      <w:i/>
      <w:iCs/>
    </w:rPr>
  </w:style>
  <w:style w:type="character" w:styleId="11" w:customStyle="1">
    <w:name w:val="Основной шрифт абзаца1"/>
    <w:qFormat/>
    <w:rsid w:val="00755cd3"/>
    <w:rPr/>
  </w:style>
  <w:style w:type="character" w:styleId="FollowedHyperlink">
    <w:name w:val="FollowedHyperlink"/>
    <w:basedOn w:val="11"/>
    <w:rsid w:val="00755cd3"/>
    <w:rPr>
      <w:color w:val="800080"/>
      <w:u w:val="single"/>
    </w:rPr>
  </w:style>
  <w:style w:type="character" w:styleId="12" w:customStyle="1">
    <w:name w:val="Строгий1"/>
    <w:qFormat/>
    <w:rsid w:val="00755cd3"/>
    <w:rPr>
      <w:b/>
      <w:bCs/>
    </w:rPr>
  </w:style>
  <w:style w:type="character" w:styleId="Strong">
    <w:name w:val="Strong"/>
    <w:qFormat/>
    <w:rsid w:val="00755cd3"/>
    <w:rPr>
      <w:b/>
      <w:bCs/>
    </w:rPr>
  </w:style>
  <w:style w:type="character" w:styleId="Style17" w:customStyle="1">
    <w:name w:val="Маркери"/>
    <w:qFormat/>
    <w:rsid w:val="00755cd3"/>
    <w:rPr>
      <w:rFonts w:ascii="OpenSymbol" w:hAnsi="OpenSymbol" w:eastAsia="OpenSymbol" w:cs="OpenSymbol"/>
    </w:rPr>
  </w:style>
  <w:style w:type="character" w:styleId="Style18" w:customStyle="1">
    <w:name w:val="Текст у виносці Знак"/>
    <w:basedOn w:val="DefaultParagraphFont"/>
    <w:link w:val="BalloonText"/>
    <w:uiPriority w:val="99"/>
    <w:semiHidden/>
    <w:qFormat/>
    <w:rsid w:val="00976275"/>
    <w:rPr>
      <w:rFonts w:ascii="Tahoma" w:hAnsi="Tahoma"/>
      <w:sz w:val="16"/>
      <w:szCs w:val="16"/>
    </w:rPr>
  </w:style>
  <w:style w:type="character" w:styleId="InternetLink1" w:customStyle="1">
    <w:name w:val="Internet Link1"/>
    <w:qFormat/>
    <w:rPr>
      <w:color w:val="000080"/>
      <w:u w:val="single"/>
    </w:rPr>
  </w:style>
  <w:style w:type="character" w:styleId="Hyperlink">
    <w:name w:val="Hyperlink"/>
    <w:rPr>
      <w:color w:val="000080"/>
      <w:u w:val="single"/>
    </w:rPr>
  </w:style>
  <w:style w:type="character" w:styleId="Style19" w:customStyle="1">
    <w:name w:val="Верхній колонтитул Знак"/>
    <w:basedOn w:val="DefaultParagraphFont"/>
    <w:uiPriority w:val="99"/>
    <w:qFormat/>
    <w:rsid w:val="00c4054d"/>
    <w:rPr/>
  </w:style>
  <w:style w:type="paragraph" w:styleId="Style20" w:customStyle="1">
    <w:name w:val="Заголовок"/>
    <w:basedOn w:val="Normal"/>
    <w:next w:val="BodyText"/>
    <w:qFormat/>
    <w:rsid w:val="00755cd3"/>
    <w:pPr>
      <w:keepNext w:val="true"/>
      <w:spacing w:before="240" w:after="120"/>
    </w:pPr>
    <w:rPr>
      <w:rFonts w:ascii="Liberation Sans" w:hAnsi="Liberation Sans" w:eastAsia="Microsoft YaHei" w:cs="Arial"/>
      <w:sz w:val="28"/>
      <w:szCs w:val="28"/>
    </w:rPr>
  </w:style>
  <w:style w:type="paragraph" w:styleId="BodyText">
    <w:name w:val="Body Text"/>
    <w:basedOn w:val="Normal"/>
    <w:rsid w:val="00755cd3"/>
    <w:pPr>
      <w:spacing w:before="0" w:after="140"/>
    </w:pPr>
    <w:rPr/>
  </w:style>
  <w:style w:type="paragraph" w:styleId="List">
    <w:name w:val="List"/>
    <w:basedOn w:val="BodyText"/>
    <w:rsid w:val="00755cd3"/>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1" w:customStyle="1">
    <w:name w:val="Покажчик"/>
    <w:basedOn w:val="Normal"/>
    <w:qFormat/>
    <w:rsid w:val="00755cd3"/>
    <w:pPr>
      <w:suppressLineNumbers/>
    </w:pPr>
    <w:rPr>
      <w:rFonts w:cs="Arial"/>
    </w:rPr>
  </w:style>
  <w:style w:type="paragraph" w:styleId="111" w:customStyle="1">
    <w:name w:val="Заголовок 11"/>
    <w:basedOn w:val="Normal"/>
    <w:next w:val="Normal"/>
    <w:link w:val="1"/>
    <w:uiPriority w:val="9"/>
    <w:qFormat/>
    <w:rsid w:val="00755cd3"/>
    <w:pPr>
      <w:keepNext w:val="true"/>
      <w:keepLines/>
      <w:spacing w:before="240" w:after="0"/>
      <w:outlineLvl w:val="0"/>
    </w:pPr>
    <w:rPr>
      <w:rFonts w:ascii="Cambria" w:hAnsi="Cambria"/>
      <w:color w:themeColor="accent1" w:themeShade="bf" w:val="365F91"/>
      <w:sz w:val="32"/>
      <w:szCs w:val="32"/>
    </w:rPr>
  </w:style>
  <w:style w:type="paragraph" w:styleId="Caption1">
    <w:name w:val="caption1"/>
    <w:basedOn w:val="Normal"/>
    <w:qFormat/>
    <w:pPr>
      <w:suppressLineNumbers/>
      <w:spacing w:before="120" w:after="120"/>
    </w:pPr>
    <w:rPr>
      <w:rFonts w:cs="Arial"/>
      <w:i/>
      <w:iCs/>
      <w:sz w:val="24"/>
      <w:szCs w:val="24"/>
    </w:rPr>
  </w:style>
  <w:style w:type="paragraph" w:styleId="Caption11" w:customStyle="1">
    <w:name w:val="caption11"/>
    <w:basedOn w:val="Normal"/>
    <w:qFormat/>
    <w:rsid w:val="00755cd3"/>
    <w:pPr>
      <w:suppressLineNumbers/>
      <w:spacing w:before="120" w:after="120"/>
    </w:pPr>
    <w:rPr>
      <w:rFonts w:cs="Arial"/>
      <w:i/>
      <w:iCs/>
      <w:sz w:val="24"/>
      <w:szCs w:val="24"/>
    </w:rPr>
  </w:style>
  <w:style w:type="paragraph" w:styleId="Caption111" w:customStyle="1">
    <w:name w:val="caption111"/>
    <w:basedOn w:val="Normal"/>
    <w:qFormat/>
    <w:rsid w:val="00755cd3"/>
    <w:pPr>
      <w:suppressLineNumbers/>
      <w:spacing w:before="120" w:after="120"/>
    </w:pPr>
    <w:rPr>
      <w:rFonts w:cs="Arial"/>
      <w:i/>
      <w:iCs/>
      <w:sz w:val="24"/>
      <w:szCs w:val="24"/>
    </w:rPr>
  </w:style>
  <w:style w:type="paragraph" w:styleId="Caption1111" w:customStyle="1">
    <w:name w:val="caption1111"/>
    <w:basedOn w:val="Normal"/>
    <w:qFormat/>
    <w:rsid w:val="00755cd3"/>
    <w:pPr>
      <w:suppressLineNumbers/>
      <w:spacing w:before="120" w:after="120"/>
    </w:pPr>
    <w:rPr>
      <w:rFonts w:cs="Arial"/>
      <w:i/>
      <w:iCs/>
      <w:sz w:val="24"/>
      <w:szCs w:val="24"/>
    </w:rPr>
  </w:style>
  <w:style w:type="paragraph" w:styleId="Caption11111" w:customStyle="1">
    <w:name w:val="caption11111"/>
    <w:basedOn w:val="Normal"/>
    <w:qFormat/>
    <w:rsid w:val="00755cd3"/>
    <w:pPr>
      <w:suppressLineNumbers/>
      <w:spacing w:before="120" w:after="120"/>
    </w:pPr>
    <w:rPr>
      <w:rFonts w:cs="Arial"/>
      <w:i/>
      <w:iCs/>
      <w:sz w:val="24"/>
      <w:szCs w:val="24"/>
    </w:rPr>
  </w:style>
  <w:style w:type="paragraph" w:styleId="Caption111111" w:customStyle="1">
    <w:name w:val="caption111111"/>
    <w:basedOn w:val="Normal"/>
    <w:qFormat/>
    <w:rsid w:val="00755cd3"/>
    <w:pPr>
      <w:suppressLineNumbers/>
      <w:spacing w:before="120" w:after="120"/>
    </w:pPr>
    <w:rPr>
      <w:rFonts w:cs="Arial"/>
      <w:i/>
      <w:iCs/>
      <w:sz w:val="24"/>
      <w:szCs w:val="24"/>
    </w:rPr>
  </w:style>
  <w:style w:type="paragraph" w:styleId="Caption1111111" w:customStyle="1">
    <w:name w:val="caption1111111"/>
    <w:basedOn w:val="Normal"/>
    <w:qFormat/>
    <w:rsid w:val="00755cd3"/>
    <w:pPr>
      <w:suppressLineNumbers/>
      <w:spacing w:before="120" w:after="120"/>
    </w:pPr>
    <w:rPr>
      <w:rFonts w:cs="Arial"/>
      <w:i/>
      <w:iCs/>
      <w:sz w:val="24"/>
      <w:szCs w:val="24"/>
    </w:rPr>
  </w:style>
  <w:style w:type="paragraph" w:styleId="Caption11111111" w:customStyle="1">
    <w:name w:val="caption11111111"/>
    <w:basedOn w:val="Normal"/>
    <w:qFormat/>
    <w:rsid w:val="00755cd3"/>
    <w:pPr>
      <w:suppressLineNumbers/>
      <w:spacing w:before="120" w:after="120"/>
    </w:pPr>
    <w:rPr>
      <w:rFonts w:cs="Arial"/>
      <w:i/>
      <w:iCs/>
      <w:sz w:val="24"/>
      <w:szCs w:val="24"/>
    </w:rPr>
  </w:style>
  <w:style w:type="paragraph" w:styleId="Caption111111111" w:customStyle="1">
    <w:name w:val="caption111111111"/>
    <w:basedOn w:val="Normal"/>
    <w:qFormat/>
    <w:rsid w:val="00755cd3"/>
    <w:pPr>
      <w:suppressLineNumbers/>
      <w:spacing w:before="120" w:after="120"/>
    </w:pPr>
    <w:rPr>
      <w:rFonts w:cs="Arial"/>
      <w:i/>
      <w:iCs/>
      <w:sz w:val="24"/>
      <w:szCs w:val="24"/>
    </w:rPr>
  </w:style>
  <w:style w:type="paragraph" w:styleId="ListParagraph">
    <w:name w:val="List Paragraph"/>
    <w:basedOn w:val="Normal"/>
    <w:qFormat/>
    <w:rsid w:val="00755cd3"/>
    <w:pPr>
      <w:spacing w:before="0" w:after="200"/>
      <w:ind w:start="720"/>
      <w:contextualSpacing/>
    </w:pPr>
    <w:rPr/>
  </w:style>
  <w:style w:type="paragraph" w:styleId="Indexheading1" w:customStyle="1">
    <w:name w:val="index heading1"/>
    <w:basedOn w:val="Style20"/>
    <w:qFormat/>
    <w:rsid w:val="00755cd3"/>
    <w:pPr/>
    <w:rPr/>
  </w:style>
  <w:style w:type="paragraph" w:styleId="Indexheading2" w:customStyle="1">
    <w:name w:val="index heading2"/>
    <w:basedOn w:val="Style20"/>
    <w:qFormat/>
    <w:rsid w:val="00755cd3"/>
    <w:pPr/>
    <w:rPr/>
  </w:style>
  <w:style w:type="paragraph" w:styleId="Indexheading3" w:customStyle="1">
    <w:name w:val="index heading3"/>
    <w:basedOn w:val="Style20"/>
    <w:qFormat/>
    <w:rsid w:val="00755cd3"/>
    <w:pPr/>
    <w:rPr/>
  </w:style>
  <w:style w:type="paragraph" w:styleId="Indexheading4" w:customStyle="1">
    <w:name w:val="index heading4"/>
    <w:basedOn w:val="Style20"/>
    <w:qFormat/>
    <w:rsid w:val="00755cd3"/>
    <w:pPr/>
    <w:rPr/>
  </w:style>
  <w:style w:type="paragraph" w:styleId="Indexheading5" w:customStyle="1">
    <w:name w:val="index heading5"/>
    <w:basedOn w:val="Style20"/>
    <w:qFormat/>
    <w:rsid w:val="00755cd3"/>
    <w:pPr/>
    <w:rPr/>
  </w:style>
  <w:style w:type="paragraph" w:styleId="Indexheading6" w:customStyle="1">
    <w:name w:val="index heading6"/>
    <w:basedOn w:val="Style20"/>
    <w:qFormat/>
    <w:rsid w:val="00755cd3"/>
    <w:pPr/>
    <w:rPr/>
  </w:style>
  <w:style w:type="paragraph" w:styleId="Indexheading7" w:customStyle="1">
    <w:name w:val="index heading7"/>
    <w:basedOn w:val="Style20"/>
    <w:qFormat/>
    <w:rsid w:val="00755cd3"/>
    <w:pPr/>
    <w:rPr/>
  </w:style>
  <w:style w:type="paragraph" w:styleId="Indexheading8">
    <w:name w:val="index heading8"/>
    <w:basedOn w:val="Style20"/>
    <w:qFormat/>
    <w:pPr/>
    <w:rPr/>
  </w:style>
  <w:style w:type="paragraph" w:styleId="IndexHeading">
    <w:name w:val="Index Heading"/>
    <w:basedOn w:val="Style20"/>
    <w:pPr/>
    <w:rPr/>
  </w:style>
  <w:style w:type="paragraph" w:styleId="TOCHeading">
    <w:name w:val="TOC Heading"/>
    <w:basedOn w:val="111"/>
    <w:next w:val="Normal"/>
    <w:qFormat/>
    <w:rsid w:val="00755cd3"/>
    <w:pPr>
      <w:suppressAutoHyphens w:val="false"/>
      <w:spacing w:lineRule="auto" w:line="259" w:before="0" w:after="0"/>
      <w:outlineLvl w:val="9"/>
    </w:pPr>
    <w:rPr>
      <w:rFonts w:ascii="Times New Roman" w:hAnsi="Times New Roman"/>
      <w:sz w:val="24"/>
      <w:lang w:eastAsia="uk-UA"/>
    </w:rPr>
  </w:style>
  <w:style w:type="paragraph" w:styleId="112" w:customStyle="1">
    <w:name w:val="Зміст 11"/>
    <w:basedOn w:val="Normal"/>
    <w:next w:val="Normal"/>
    <w:autoRedefine/>
    <w:uiPriority w:val="39"/>
    <w:qFormat/>
    <w:rsid w:val="00755cd3"/>
    <w:pPr>
      <w:spacing w:before="0" w:after="100"/>
    </w:pPr>
    <w:rPr/>
  </w:style>
  <w:style w:type="paragraph" w:styleId="LO-normal" w:customStyle="1">
    <w:name w:val="LO-normal"/>
    <w:qFormat/>
    <w:rsid w:val="00755cd3"/>
    <w:pPr>
      <w:widowControl w:val="false"/>
      <w:suppressAutoHyphens w:val="true"/>
      <w:bidi w:val="0"/>
      <w:spacing w:before="0" w:after="0"/>
      <w:jc w:val="start"/>
    </w:pPr>
    <w:rPr>
      <w:rFonts w:ascii="Times New Roman" w:hAnsi="Times New Roman" w:eastAsia="Times New Roman" w:cs="Times New Roman"/>
      <w:color w:val="auto"/>
      <w:kern w:val="0"/>
      <w:sz w:val="24"/>
      <w:szCs w:val="24"/>
      <w:lang w:val="uk-UA" w:eastAsia="zh-CN" w:bidi="ar-SA"/>
    </w:rPr>
  </w:style>
  <w:style w:type="paragraph" w:styleId="Caption11111111111111111111111111" w:customStyle="1">
    <w:name w:val="caption11111111111111111111111111"/>
    <w:basedOn w:val="Normal"/>
    <w:qFormat/>
    <w:rsid w:val="00755cd3"/>
    <w:pPr>
      <w:suppressLineNumbers/>
      <w:spacing w:before="120" w:after="120"/>
    </w:pPr>
    <w:rPr>
      <w:rFonts w:cs="Lucida Sans"/>
      <w:i/>
      <w:iCs/>
      <w:sz w:val="24"/>
      <w:szCs w:val="24"/>
    </w:rPr>
  </w:style>
  <w:style w:type="paragraph" w:styleId="2007" w:customStyle="1">
    <w:name w:val="2007"/>
    <w:basedOn w:val="Caption11111111111111111111111111"/>
    <w:qFormat/>
    <w:rsid w:val="00755cd3"/>
    <w:pPr/>
    <w:rPr/>
  </w:style>
  <w:style w:type="paragraph" w:styleId="2" w:customStyle="1">
    <w:name w:val="Абзац списка2"/>
    <w:basedOn w:val="Normal"/>
    <w:qFormat/>
    <w:rsid w:val="00755cd3"/>
    <w:pPr>
      <w:spacing w:lineRule="auto" w:line="240" w:before="0" w:after="0"/>
      <w:ind w:start="720"/>
      <w:contextualSpacing/>
    </w:pPr>
    <w:rPr>
      <w:rFonts w:ascii="Times New Roman" w:hAnsi="Times New Roman" w:eastAsia="Times New Roman" w:cs="Times New Roman"/>
      <w:sz w:val="24"/>
      <w:szCs w:val="24"/>
      <w:lang w:val="ru-RU" w:eastAsia="zh-CN"/>
    </w:rPr>
  </w:style>
  <w:style w:type="paragraph" w:styleId="Style22" w:customStyle="1">
    <w:name w:val="Вміст рамки"/>
    <w:basedOn w:val="Normal"/>
    <w:qFormat/>
    <w:rsid w:val="00755cd3"/>
    <w:pPr/>
    <w:rPr/>
  </w:style>
  <w:style w:type="paragraph" w:styleId="Style23" w:customStyle="1">
    <w:name w:val="Верхній і нижній колонтитули"/>
    <w:basedOn w:val="Normal"/>
    <w:qFormat/>
    <w:pPr/>
    <w:rPr/>
  </w:style>
  <w:style w:type="paragraph" w:styleId="13" w:customStyle="1">
    <w:name w:val="Верхній колонтитул1"/>
    <w:basedOn w:val="Style23"/>
    <w:qFormat/>
    <w:rsid w:val="00755cd3"/>
    <w:pPr>
      <w:tabs>
        <w:tab w:val="clear" w:pos="708"/>
        <w:tab w:val="center" w:pos="4677" w:leader="none"/>
        <w:tab w:val="right" w:pos="9355" w:leader="none"/>
      </w:tabs>
      <w:spacing w:lineRule="auto" w:line="240" w:before="0" w:after="0"/>
    </w:pPr>
    <w:rPr>
      <w:rFonts w:ascii="Liberation Serif" w:hAnsi="Liberation Serif" w:eastAsia="NSimSun" w:cs="Arial"/>
      <w:kern w:val="2"/>
      <w:sz w:val="24"/>
      <w:szCs w:val="24"/>
      <w:lang w:eastAsia="zh-CN" w:bidi="hi-IN"/>
    </w:rPr>
  </w:style>
  <w:style w:type="paragraph" w:styleId="14" w:customStyle="1">
    <w:name w:val="Нижній колонтитул1"/>
    <w:basedOn w:val="Style23"/>
    <w:link w:val="Style16"/>
    <w:uiPriority w:val="99"/>
    <w:qFormat/>
    <w:rsid w:val="00755cd3"/>
    <w:pPr/>
    <w:rPr/>
  </w:style>
  <w:style w:type="paragraph" w:styleId="Header">
    <w:name w:val="Header"/>
    <w:basedOn w:val="Normal"/>
    <w:link w:val="Style19"/>
    <w:uiPriority w:val="99"/>
    <w:unhideWhenUsed/>
    <w:rsid w:val="00c4054d"/>
    <w:pPr>
      <w:tabs>
        <w:tab w:val="clear" w:pos="708"/>
        <w:tab w:val="center" w:pos="4819" w:leader="none"/>
        <w:tab w:val="right" w:pos="9639" w:leader="none"/>
      </w:tabs>
      <w:spacing w:lineRule="auto" w:line="240" w:before="0" w:after="0"/>
    </w:pPr>
    <w:rPr/>
  </w:style>
  <w:style w:type="paragraph" w:styleId="Style24" w:customStyle="1">
    <w:name w:val="Верхній колонтитул ліворуч"/>
    <w:basedOn w:val="13"/>
    <w:qFormat/>
    <w:rsid w:val="00755cd3"/>
    <w:pPr/>
    <w:rPr/>
  </w:style>
  <w:style w:type="paragraph" w:styleId="Style25" w:customStyle="1">
    <w:name w:val="Вміст таблиці"/>
    <w:basedOn w:val="Normal"/>
    <w:qFormat/>
    <w:rsid w:val="00755cd3"/>
    <w:pPr>
      <w:widowControl w:val="false"/>
      <w:suppressLineNumbers/>
    </w:pPr>
    <w:rPr/>
  </w:style>
  <w:style w:type="paragraph" w:styleId="Style26" w:customStyle="1">
    <w:name w:val="Заголовок таблиці"/>
    <w:basedOn w:val="Style25"/>
    <w:qFormat/>
    <w:rsid w:val="00755cd3"/>
    <w:pPr>
      <w:jc w:val="center"/>
    </w:pPr>
    <w:rPr>
      <w:b/>
      <w:bCs/>
    </w:rPr>
  </w:style>
  <w:style w:type="paragraph" w:styleId="TableParagraph" w:customStyle="1">
    <w:name w:val="Table Paragraph"/>
    <w:basedOn w:val="Normal"/>
    <w:qFormat/>
    <w:rsid w:val="00755cd3"/>
    <w:pPr>
      <w:spacing w:lineRule="auto" w:line="240" w:before="0" w:after="0"/>
    </w:pPr>
    <w:rPr>
      <w:rFonts w:cs="Calibri"/>
      <w:kern w:val="2"/>
      <w:sz w:val="24"/>
      <w:szCs w:val="24"/>
      <w:lang w:eastAsia="zh-CN" w:bidi="hi-IN"/>
    </w:rPr>
  </w:style>
  <w:style w:type="paragraph" w:styleId="Style27" w:customStyle="1">
    <w:name w:val="Фігура"/>
    <w:basedOn w:val="Caption111111"/>
    <w:qFormat/>
    <w:rsid w:val="00755cd3"/>
    <w:pPr/>
    <w:rPr/>
  </w:style>
  <w:style w:type="paragraph" w:styleId="PlainText">
    <w:name w:val="Plain Text"/>
    <w:basedOn w:val="Caption111111"/>
    <w:qFormat/>
    <w:rsid w:val="00755cd3"/>
    <w:pPr/>
    <w:rPr/>
  </w:style>
  <w:style w:type="paragraph" w:styleId="2024" w:customStyle="1">
    <w:name w:val="2024"/>
    <w:basedOn w:val="Caption11"/>
    <w:qFormat/>
    <w:rsid w:val="00755cd3"/>
    <w:pPr/>
    <w:rPr/>
  </w:style>
  <w:style w:type="paragraph" w:styleId="BalloonText">
    <w:name w:val="Balloon Text"/>
    <w:basedOn w:val="Normal"/>
    <w:link w:val="Style18"/>
    <w:uiPriority w:val="99"/>
    <w:semiHidden/>
    <w:unhideWhenUsed/>
    <w:qFormat/>
    <w:rsid w:val="00976275"/>
    <w:pPr>
      <w:spacing w:lineRule="auto" w:line="240" w:before="0" w:after="0"/>
    </w:pPr>
    <w:rPr>
      <w:rFonts w:ascii="Tahoma" w:hAnsi="Tahoma"/>
      <w:sz w:val="16"/>
      <w:szCs w:val="16"/>
    </w:rPr>
  </w:style>
  <w:style w:type="paragraph" w:styleId="Footer">
    <w:name w:val="Footer"/>
    <w:basedOn w:val="Style23"/>
    <w:pPr/>
    <w:rPr/>
  </w:style>
  <w:style w:type="paragraph" w:styleId="TOC1">
    <w:name w:val="TOC 1"/>
    <w:basedOn w:val="Style21"/>
    <w:pPr>
      <w:tabs>
        <w:tab w:val="clear" w:pos="708"/>
        <w:tab w:val="right" w:pos="9638" w:leader="dot"/>
      </w:tabs>
      <w:spacing w:before="0" w:after="0"/>
      <w:ind w:hanging="0" w:start="0"/>
    </w:pPr>
    <w:rPr>
      <w:rFonts w:ascii="Times New Roman" w:hAnsi="Times New Roman"/>
      <w:sz w:val="24"/>
    </w:rPr>
  </w:style>
  <w:style w:type="numbering" w:styleId="NoList" w:default="1">
    <w:name w:val="No List"/>
    <w:uiPriority w:val="99"/>
    <w:semiHidden/>
    <w:unhideWhenUsed/>
    <w:qFormat/>
  </w:style>
  <w:style w:type="numbering" w:styleId="Style28" w:customStyle="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zakon.rada.gov.ua/laws/show/88-2020-&#1088;" TargetMode="External"/><Relationship Id="rId4" Type="http://schemas.openxmlformats.org/officeDocument/2006/relationships/hyperlink" Target="https://zakon.rada.gov.ua/laws/show/569-2017-&#1088;" TargetMode="External"/><Relationship Id="rId5" Type="http://schemas.openxmlformats.org/officeDocument/2006/relationships/hyperlink" Target="https://zakon.rada.gov.ua/laws/show/1803-2021-&#1088;" TargetMode="External"/><Relationship Id="rId6" Type="http://schemas.openxmlformats.org/officeDocument/2006/relationships/hyperlink" Target="https://zakon.rada.gov.ua/laws/show/430-2018-&#1088;" TargetMode="Externa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chart" Target="charts/chart4.xml"/><Relationship Id="rId11" Type="http://schemas.openxmlformats.org/officeDocument/2006/relationships/chart" Target="charts/chart5.xml"/><Relationship Id="rId12" Type="http://schemas.openxmlformats.org/officeDocument/2006/relationships/chart" Target="charts/chart6.xml"/><Relationship Id="rId13" Type="http://schemas.openxmlformats.org/officeDocument/2006/relationships/chart" Target="charts/chart7.xml"/><Relationship Id="rId14" Type="http://schemas.openxmlformats.org/officeDocument/2006/relationships/chart" Target="charts/chart8.xml"/><Relationship Id="rId15" Type="http://schemas.openxmlformats.org/officeDocument/2006/relationships/chart" Target="charts/chart9.xml"/><Relationship Id="rId16" Type="http://schemas.openxmlformats.org/officeDocument/2006/relationships/chart" Target="charts/chart10.xml"/><Relationship Id="rId17" Type="http://schemas.openxmlformats.org/officeDocument/2006/relationships/chart" Target="charts/chart11.xml"/><Relationship Id="rId18" Type="http://schemas.openxmlformats.org/officeDocument/2006/relationships/chart" Target="charts/chart12.xml"/><Relationship Id="rId19" Type="http://schemas.openxmlformats.org/officeDocument/2006/relationships/chart" Target="charts/chart13.xml"/><Relationship Id="rId20" Type="http://schemas.openxmlformats.org/officeDocument/2006/relationships/chart" Target="charts/chart14.xml"/><Relationship Id="rId21" Type="http://schemas.openxmlformats.org/officeDocument/2006/relationships/chart" Target="charts/chart15.xml"/><Relationship Id="rId22" Type="http://schemas.openxmlformats.org/officeDocument/2006/relationships/footer" Target="footer1.xml"/><Relationship Id="rId23" Type="http://schemas.openxmlformats.org/officeDocument/2006/relationships/image" Target="media/image2.png"/><Relationship Id="rId24" Type="http://schemas.openxmlformats.org/officeDocument/2006/relationships/chart" Target="charts/chart16.xml"/><Relationship Id="rId25" Type="http://schemas.openxmlformats.org/officeDocument/2006/relationships/chart" Target="charts/chart17.xml"/><Relationship Id="rId26" Type="http://schemas.openxmlformats.org/officeDocument/2006/relationships/chart" Target="charts/chart18.xml"/><Relationship Id="rId27" Type="http://schemas.openxmlformats.org/officeDocument/2006/relationships/chart" Target="charts/chart19.xml"/><Relationship Id="rId28" Type="http://schemas.openxmlformats.org/officeDocument/2006/relationships/header" Target="header1.xml"/><Relationship Id="rId29" Type="http://schemas.openxmlformats.org/officeDocument/2006/relationships/header" Target="header2.xml"/><Relationship Id="rId30" Type="http://schemas.openxmlformats.org/officeDocument/2006/relationships/header" Target="header3.xml"/><Relationship Id="rId31" Type="http://schemas.openxmlformats.org/officeDocument/2006/relationships/footer" Target="footer2.xml"/><Relationship Id="rId32" Type="http://schemas.openxmlformats.org/officeDocument/2006/relationships/footer" Target="footer3.xml"/><Relationship Id="rId33" Type="http://schemas.openxmlformats.org/officeDocument/2006/relationships/footer" Target="footer4.xml"/><Relationship Id="rId34" Type="http://schemas.openxmlformats.org/officeDocument/2006/relationships/chart" Target="charts/chart20.xml"/><Relationship Id="rId35" Type="http://schemas.openxmlformats.org/officeDocument/2006/relationships/header" Target="header4.xml"/><Relationship Id="rId36" Type="http://schemas.openxmlformats.org/officeDocument/2006/relationships/header" Target="header5.xml"/><Relationship Id="rId37" Type="http://schemas.openxmlformats.org/officeDocument/2006/relationships/header" Target="header6.xml"/><Relationship Id="rId38" Type="http://schemas.openxmlformats.org/officeDocument/2006/relationships/footer" Target="footer5.xml"/><Relationship Id="rId39" Type="http://schemas.openxmlformats.org/officeDocument/2006/relationships/footer" Target="footer6.xml"/><Relationship Id="rId40" Type="http://schemas.openxmlformats.org/officeDocument/2006/relationships/footer" Target="footer7.xml"/><Relationship Id="rId41" Type="http://schemas.openxmlformats.org/officeDocument/2006/relationships/header" Target="header7.xml"/><Relationship Id="rId42" Type="http://schemas.openxmlformats.org/officeDocument/2006/relationships/header" Target="header8.xml"/><Relationship Id="rId43" Type="http://schemas.openxmlformats.org/officeDocument/2006/relationships/header" Target="header9.xml"/><Relationship Id="rId44" Type="http://schemas.openxmlformats.org/officeDocument/2006/relationships/footer" Target="footer8.xml"/><Relationship Id="rId45" Type="http://schemas.openxmlformats.org/officeDocument/2006/relationships/footer" Target="footer9.xml"/><Relationship Id="rId46" Type="http://schemas.openxmlformats.org/officeDocument/2006/relationships/footer" Target="footer10.xml"/><Relationship Id="rId47" Type="http://schemas.openxmlformats.org/officeDocument/2006/relationships/chart" Target="charts/chart21.xml"/><Relationship Id="rId48" Type="http://schemas.openxmlformats.org/officeDocument/2006/relationships/header" Target="header10.xml"/><Relationship Id="rId49" Type="http://schemas.openxmlformats.org/officeDocument/2006/relationships/header" Target="header11.xml"/><Relationship Id="rId50" Type="http://schemas.openxmlformats.org/officeDocument/2006/relationships/header" Target="header12.xml"/><Relationship Id="rId51" Type="http://schemas.openxmlformats.org/officeDocument/2006/relationships/footer" Target="footer11.xml"/><Relationship Id="rId52" Type="http://schemas.openxmlformats.org/officeDocument/2006/relationships/footer" Target="footer12.xml"/><Relationship Id="rId53" Type="http://schemas.openxmlformats.org/officeDocument/2006/relationships/footer" Target="footer13.xml"/><Relationship Id="rId54" Type="http://schemas.openxmlformats.org/officeDocument/2006/relationships/header" Target="header13.xml"/><Relationship Id="rId55" Type="http://schemas.openxmlformats.org/officeDocument/2006/relationships/header" Target="header14.xml"/><Relationship Id="rId56" Type="http://schemas.openxmlformats.org/officeDocument/2006/relationships/header" Target="header15.xml"/><Relationship Id="rId57" Type="http://schemas.openxmlformats.org/officeDocument/2006/relationships/footer" Target="footer14.xml"/><Relationship Id="rId58" Type="http://schemas.openxmlformats.org/officeDocument/2006/relationships/footer" Target="footer15.xml"/><Relationship Id="rId59" Type="http://schemas.openxmlformats.org/officeDocument/2006/relationships/footer" Target="footer16.xml"/><Relationship Id="rId60" Type="http://schemas.openxmlformats.org/officeDocument/2006/relationships/image" Target="media/image3.png"/><Relationship Id="rId61" Type="http://schemas.openxmlformats.org/officeDocument/2006/relationships/image" Target="media/image3.png"/><Relationship Id="rId62" Type="http://schemas.openxmlformats.org/officeDocument/2006/relationships/image" Target="media/image3.png"/><Relationship Id="rId63" Type="http://schemas.openxmlformats.org/officeDocument/2006/relationships/image" Target="media/image4.png"/><Relationship Id="rId64" Type="http://schemas.openxmlformats.org/officeDocument/2006/relationships/hyperlink" Target="https://population-hub.com/ua/ua/population-of-lutsk-6175.html" TargetMode="External"/><Relationship Id="rId65" Type="http://schemas.openxmlformats.org/officeDocument/2006/relationships/chart" Target="charts/chart22.xml"/><Relationship Id="rId66" Type="http://schemas.openxmlformats.org/officeDocument/2006/relationships/chart" Target="charts/chart23.xml"/><Relationship Id="rId67" Type="http://schemas.openxmlformats.org/officeDocument/2006/relationships/chart" Target="charts/chart24.xml"/><Relationship Id="rId68" Type="http://schemas.openxmlformats.org/officeDocument/2006/relationships/chart" Target="charts/chart25.xml"/><Relationship Id="rId69" Type="http://schemas.openxmlformats.org/officeDocument/2006/relationships/chart" Target="charts/chart26.xml"/><Relationship Id="rId70" Type="http://schemas.openxmlformats.org/officeDocument/2006/relationships/image" Target="media/image5.jpeg"/><Relationship Id="rId71" Type="http://schemas.openxmlformats.org/officeDocument/2006/relationships/chart" Target="charts/chart27.xml"/><Relationship Id="rId72" Type="http://schemas.openxmlformats.org/officeDocument/2006/relationships/chart" Target="charts/chart28.xml"/><Relationship Id="rId73" Type="http://schemas.openxmlformats.org/officeDocument/2006/relationships/chart" Target="charts/chart29.xml"/><Relationship Id="rId74" Type="http://schemas.openxmlformats.org/officeDocument/2006/relationships/chart" Target="charts/chart30.xml"/><Relationship Id="rId75" Type="http://schemas.openxmlformats.org/officeDocument/2006/relationships/chart" Target="charts/chart31.xml"/><Relationship Id="rId76" Type="http://schemas.openxmlformats.org/officeDocument/2006/relationships/chart" Target="charts/chart32.xml"/><Relationship Id="rId77" Type="http://schemas.openxmlformats.org/officeDocument/2006/relationships/chart" Target="charts/chart33.xml"/><Relationship Id="rId78" Type="http://schemas.openxmlformats.org/officeDocument/2006/relationships/chart" Target="charts/chart34.xml"/><Relationship Id="rId79" Type="http://schemas.openxmlformats.org/officeDocument/2006/relationships/chart" Target="charts/chart35.xml"/><Relationship Id="rId80" Type="http://schemas.openxmlformats.org/officeDocument/2006/relationships/chart" Target="charts/chart36.xml"/><Relationship Id="rId81" Type="http://schemas.openxmlformats.org/officeDocument/2006/relationships/image" Target="media/image6.png"/><Relationship Id="rId82" Type="http://schemas.openxmlformats.org/officeDocument/2006/relationships/chart" Target="charts/chart37.xml"/><Relationship Id="rId83" Type="http://schemas.openxmlformats.org/officeDocument/2006/relationships/chart" Target="charts/chart38.xml"/><Relationship Id="rId84" Type="http://schemas.openxmlformats.org/officeDocument/2006/relationships/chart" Target="charts/chart39.xml"/><Relationship Id="rId85" Type="http://schemas.openxmlformats.org/officeDocument/2006/relationships/chart" Target="charts/chart40.xml"/><Relationship Id="rId86" Type="http://schemas.openxmlformats.org/officeDocument/2006/relationships/chart" Target="charts/chart41.xml"/><Relationship Id="rId87" Type="http://schemas.openxmlformats.org/officeDocument/2006/relationships/chart" Target="charts/chart42.xml"/><Relationship Id="rId88" Type="http://schemas.openxmlformats.org/officeDocument/2006/relationships/chart" Target="charts/chart43.xml"/><Relationship Id="rId89" Type="http://schemas.openxmlformats.org/officeDocument/2006/relationships/chart" Target="charts/chart44.xml"/><Relationship Id="rId90" Type="http://schemas.openxmlformats.org/officeDocument/2006/relationships/chart" Target="charts/chart45.xml"/><Relationship Id="rId91" Type="http://schemas.openxmlformats.org/officeDocument/2006/relationships/chart" Target="charts/chart46.xml"/><Relationship Id="rId92" Type="http://schemas.openxmlformats.org/officeDocument/2006/relationships/image" Target="media/image7.png"/><Relationship Id="rId93" Type="http://schemas.openxmlformats.org/officeDocument/2006/relationships/chart" Target="charts/chart47.xml"/><Relationship Id="rId94" Type="http://schemas.openxmlformats.org/officeDocument/2006/relationships/chart" Target="charts/chart48.xml"/><Relationship Id="rId95" Type="http://schemas.openxmlformats.org/officeDocument/2006/relationships/chart" Target="charts/chart49.xml"/><Relationship Id="rId96" Type="http://schemas.openxmlformats.org/officeDocument/2006/relationships/image" Target="media/image8.jpeg"/><Relationship Id="rId97" Type="http://schemas.openxmlformats.org/officeDocument/2006/relationships/image" Target="media/image9.png"/><Relationship Id="rId98" Type="http://schemas.openxmlformats.org/officeDocument/2006/relationships/hyperlink" Target="https://zakon.rada.gov.ua/" TargetMode="External"/><Relationship Id="rId99" Type="http://schemas.openxmlformats.org/officeDocument/2006/relationships/hyperlink" Target="https://www.kmu.gov.ua/" TargetMode="External"/><Relationship Id="rId100" Type="http://schemas.openxmlformats.org/officeDocument/2006/relationships/hyperlink" Target="https://minfin.com.ua/" TargetMode="External"/><Relationship Id="rId101" Type="http://schemas.openxmlformats.org/officeDocument/2006/relationships/hyperlink" Target="https://saee.gov.ua/" TargetMode="External"/><Relationship Id="rId102" Type="http://schemas.openxmlformats.org/officeDocument/2006/relationships/hyperlink" Target="https://www.nerc.gov.ua/" TargetMode="External"/><Relationship Id="rId103" Type="http://schemas.openxmlformats.org/officeDocument/2006/relationships/hyperlink" Target="https://com-east.eu/" TargetMode="External"/><Relationship Id="rId104" Type="http://schemas.openxmlformats.org/officeDocument/2006/relationships/hyperlink" Target="https://voladm.gov.ua/" TargetMode="External"/><Relationship Id="rId105" Type="http://schemas.openxmlformats.org/officeDocument/2006/relationships/hyperlink" Target="https://www.lutskrada.gov.ua/" TargetMode="External"/><Relationship Id="rId106" Type="http://schemas.openxmlformats.org/officeDocument/2006/relationships/hyperlink" Target="https://www.teplo-dkp.lutsk.ua/" TargetMode="External"/><Relationship Id="rId107" Type="http://schemas.openxmlformats.org/officeDocument/2006/relationships/hyperlink" Target="https://vd.lutsk.ua/" TargetMode="External"/><Relationship Id="rId108" Type="http://schemas.openxmlformats.org/officeDocument/2006/relationships/hyperlink" Target="https://www.calculat.org/ua/" TargetMode="External"/><Relationship Id="rId109" Type="http://schemas.openxmlformats.org/officeDocument/2006/relationships/hyperlink" Target="https://geo.lutskrada.gov.ua/home" TargetMode="External"/><Relationship Id="rId110" Type="http://schemas.openxmlformats.org/officeDocument/2006/relationships/header" Target="header16.xml"/><Relationship Id="rId111" Type="http://schemas.openxmlformats.org/officeDocument/2006/relationships/header" Target="header17.xml"/><Relationship Id="rId112" Type="http://schemas.openxmlformats.org/officeDocument/2006/relationships/header" Target="header18.xml"/><Relationship Id="rId113" Type="http://schemas.openxmlformats.org/officeDocument/2006/relationships/footer" Target="footer17.xml"/><Relationship Id="rId114" Type="http://schemas.openxmlformats.org/officeDocument/2006/relationships/footer" Target="footer18.xml"/><Relationship Id="rId115" Type="http://schemas.openxmlformats.org/officeDocument/2006/relationships/footer" Target="footer19.xml"/><Relationship Id="rId116" Type="http://schemas.openxmlformats.org/officeDocument/2006/relationships/header" Target="header19.xml"/><Relationship Id="rId117" Type="http://schemas.openxmlformats.org/officeDocument/2006/relationships/header" Target="header20.xml"/><Relationship Id="rId118" Type="http://schemas.openxmlformats.org/officeDocument/2006/relationships/header" Target="header21.xml"/><Relationship Id="rId119" Type="http://schemas.openxmlformats.org/officeDocument/2006/relationships/footer" Target="footer20.xml"/><Relationship Id="rId120" Type="http://schemas.openxmlformats.org/officeDocument/2006/relationships/footer" Target="footer21.xml"/><Relationship Id="rId121" Type="http://schemas.openxmlformats.org/officeDocument/2006/relationships/footer" Target="footer22.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Relationship Id="rId126" Type="http://schemas.openxmlformats.org/officeDocument/2006/relationships/customXml" Target="../customXml/item1.xml"/>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ayout>
        <c:manualLayout>
          <c:layoutTarget val="inner"/>
          <c:xMode val="edge"/>
          <c:yMode val="edge"/>
          <c:x val="0.135"/>
          <c:y val="0.0418888888888889"/>
          <c:w val="0.8443125"/>
          <c:h val="0.560888888888889"/>
        </c:manualLayout>
      </c:layout>
      <c:barChart>
        <c:barDir val="col"/>
        <c:grouping val="stacked"/>
        <c:varyColors val="0"/>
        <c:ser>
          <c:idx val="0"/>
          <c:order val="0"/>
          <c:tx>
            <c:strRef>
              <c:f>label 0</c:f>
              <c:strCache>
                <c:ptCount val="1"/>
                <c:pt idx="0">
                  <c:v>Муніципальні будівлі</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0</c:f>
              <c:numCache>
                <c:formatCode>General</c:formatCode>
                <c:ptCount val="6"/>
                <c:pt idx="0">
                  <c:v>209055.5</c:v>
                </c:pt>
                <c:pt idx="1">
                  <c:v>0</c:v>
                </c:pt>
                <c:pt idx="2">
                  <c:v>0</c:v>
                </c:pt>
                <c:pt idx="3">
                  <c:v>0</c:v>
                </c:pt>
                <c:pt idx="4">
                  <c:v>0</c:v>
                </c:pt>
                <c:pt idx="5">
                  <c:v>0</c:v>
                </c:pt>
              </c:numCache>
            </c:numRef>
          </c:val>
        </c:ser>
        <c:ser>
          <c:idx val="1"/>
          <c:order val="1"/>
          <c:tx>
            <c:strRef>
              <c:f>label 1</c:f>
              <c:strCache>
                <c:ptCount val="1"/>
                <c:pt idx="0">
                  <c:v>Сфера водопостачання та 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1</c:f>
              <c:numCache>
                <c:formatCode>General</c:formatCode>
                <c:ptCount val="6"/>
                <c:pt idx="0">
                  <c:v>32207.18</c:v>
                </c:pt>
                <c:pt idx="1">
                  <c:v>8750.22000000001</c:v>
                </c:pt>
                <c:pt idx="2">
                  <c:v>0</c:v>
                </c:pt>
                <c:pt idx="3">
                  <c:v>0</c:v>
                </c:pt>
                <c:pt idx="4">
                  <c:v>0</c:v>
                </c:pt>
                <c:pt idx="5">
                  <c:v>0</c:v>
                </c:pt>
              </c:numCache>
            </c:numRef>
          </c:val>
        </c:ser>
        <c:ser>
          <c:idx val="2"/>
          <c:order val="2"/>
          <c:tx>
            <c:strRef>
              <c:f>label 2</c:f>
              <c:strCache>
                <c:ptCount val="1"/>
                <c:pt idx="0">
                  <c:v>Третинні будівлі</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2</c:f>
              <c:numCache>
                <c:formatCode>General</c:formatCode>
                <c:ptCount val="6"/>
                <c:pt idx="0">
                  <c:v>30</c:v>
                </c:pt>
                <c:pt idx="1">
                  <c:v>33</c:v>
                </c:pt>
                <c:pt idx="2">
                  <c:v>30</c:v>
                </c:pt>
                <c:pt idx="3">
                  <c:v>24</c:v>
                </c:pt>
                <c:pt idx="4">
                  <c:v>18</c:v>
                </c:pt>
                <c:pt idx="5">
                  <c:v>15</c:v>
                </c:pt>
              </c:numCache>
            </c:numRef>
          </c:val>
        </c:ser>
        <c:ser>
          <c:idx val="3"/>
          <c:order val="3"/>
          <c:tx>
            <c:strRef>
              <c:f>label 3</c:f>
              <c:strCache>
                <c:ptCount val="1"/>
                <c:pt idx="0">
                  <c:v>Житлові будівлі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3</c:f>
              <c:numCache>
                <c:formatCode>General</c:formatCode>
                <c:ptCount val="6"/>
                <c:pt idx="0">
                  <c:v>429000</c:v>
                </c:pt>
                <c:pt idx="1">
                  <c:v>471000</c:v>
                </c:pt>
                <c:pt idx="2">
                  <c:v>518000</c:v>
                </c:pt>
                <c:pt idx="3">
                  <c:v>570000</c:v>
                </c:pt>
                <c:pt idx="4">
                  <c:v>627000</c:v>
                </c:pt>
                <c:pt idx="5">
                  <c:v>690000</c:v>
                </c:pt>
              </c:numCache>
            </c:numRef>
          </c:val>
        </c:ser>
        <c:ser>
          <c:idx val="4"/>
          <c:order val="4"/>
          <c:tx>
            <c:strRef>
              <c:f>label 4</c:f>
              <c:strCache>
                <c:ptCount val="1"/>
                <c:pt idx="0">
                  <c:v>Транспорт</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4</c:f>
              <c:numCache>
                <c:formatCode>General</c:formatCode>
                <c:ptCount val="6"/>
                <c:pt idx="0">
                  <c:v>199366.1</c:v>
                </c:pt>
                <c:pt idx="1">
                  <c:v>219596</c:v>
                </c:pt>
                <c:pt idx="2">
                  <c:v>53500</c:v>
                </c:pt>
                <c:pt idx="3">
                  <c:v>34300</c:v>
                </c:pt>
                <c:pt idx="4">
                  <c:v>32100</c:v>
                </c:pt>
                <c:pt idx="5">
                  <c:v>22500</c:v>
                </c:pt>
              </c:numCache>
            </c:numRef>
          </c:val>
        </c:ser>
        <c:ser>
          <c:idx val="5"/>
          <c:order val="5"/>
          <c:tx>
            <c:strRef>
              <c:f>label 5</c:f>
              <c:strCache>
                <c:ptCount val="1"/>
                <c:pt idx="0">
                  <c:v>Сфера теплопостачання</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5</c:f>
              <c:numCache>
                <c:formatCode>General</c:formatCode>
                <c:ptCount val="6"/>
                <c:pt idx="0">
                  <c:v>1059548</c:v>
                </c:pt>
                <c:pt idx="1">
                  <c:v>356244</c:v>
                </c:pt>
                <c:pt idx="2">
                  <c:v>200</c:v>
                </c:pt>
                <c:pt idx="3">
                  <c:v>200</c:v>
                </c:pt>
                <c:pt idx="4">
                  <c:v>200</c:v>
                </c:pt>
                <c:pt idx="5">
                  <c:v>100</c:v>
                </c:pt>
              </c:numCache>
            </c:numRef>
          </c:val>
        </c:ser>
        <c:ser>
          <c:idx val="6"/>
          <c:order val="6"/>
          <c:tx>
            <c:strRef>
              <c:f>label 6</c:f>
              <c:strCache>
                <c:ptCount val="1"/>
                <c:pt idx="0">
                  <c:v>Генерація, постачання та розподіл електроенергії</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6</c:f>
              <c:numCache>
                <c:formatCode>General</c:formatCode>
                <c:ptCount val="6"/>
                <c:pt idx="0">
                  <c:v>36550</c:v>
                </c:pt>
                <c:pt idx="1">
                  <c:v>73100</c:v>
                </c:pt>
                <c:pt idx="2">
                  <c:v>56100</c:v>
                </c:pt>
                <c:pt idx="3">
                  <c:v>22100</c:v>
                </c:pt>
                <c:pt idx="4">
                  <c:v>5100</c:v>
                </c:pt>
                <c:pt idx="5">
                  <c:v>2550</c:v>
                </c:pt>
              </c:numCache>
            </c:numRef>
          </c:val>
        </c:ser>
        <c:ser>
          <c:idx val="7"/>
          <c:order val="7"/>
          <c:tx>
            <c:strRef>
              <c:f>label 7</c:f>
              <c:strCache>
                <c:ptCount val="1"/>
                <c:pt idx="0">
                  <c:v>Поводження з твердими побутовими відходами</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7</c:f>
              <c:numCache>
                <c:formatCode>General</c:formatCode>
                <c:ptCount val="6"/>
                <c:pt idx="0">
                  <c:v>100</c:v>
                </c:pt>
                <c:pt idx="1">
                  <c:v>200</c:v>
                </c:pt>
                <c:pt idx="2">
                  <c:v>200</c:v>
                </c:pt>
                <c:pt idx="3">
                  <c:v>200</c:v>
                </c:pt>
                <c:pt idx="4">
                  <c:v>200</c:v>
                </c:pt>
                <c:pt idx="5">
                  <c:v>100</c:v>
                </c:pt>
              </c:numCache>
            </c:numRef>
          </c:val>
        </c:ser>
        <c:gapWidth val="100"/>
        <c:overlap val="100"/>
        <c:axId val="24421870"/>
        <c:axId val="73648123"/>
      </c:barChart>
      <c:catAx>
        <c:axId val="24421870"/>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3648123"/>
        <c:crosses val="autoZero"/>
        <c:auto val="1"/>
        <c:lblAlgn val="ctr"/>
        <c:lblOffset val="100"/>
        <c:noMultiLvlLbl val="0"/>
      </c:catAx>
      <c:valAx>
        <c:axId val="73648123"/>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24421870"/>
        <c:crossesAt val="1"/>
        <c:crossBetween val="between"/>
      </c:valAx>
      <c:spPr>
        <a:noFill/>
        <a:ln w="0">
          <a:solidFill>
            <a:srgbClr val="b3b3b3"/>
          </a:solidFill>
        </a:ln>
      </c:spPr>
    </c:plotArea>
    <c:legend>
      <c:legendPos val="b"/>
      <c:layout>
        <c:manualLayout>
          <c:xMode val="edge"/>
          <c:yMode val="edge"/>
          <c:x val="0"/>
          <c:y val="0.687"/>
          <c:w val="1"/>
          <c:h val="0.312479164351595"/>
        </c:manualLayout>
      </c:layout>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2.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stacked"/>
        <c:varyColors val="0"/>
        <c:ser>
          <c:idx val="0"/>
          <c:order val="0"/>
          <c:tx>
            <c:strRef>
              <c:f>label 0</c:f>
              <c:strCache>
                <c:ptCount val="1"/>
                <c:pt idx="0">
                  <c:v>Теплова енергія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63848.7</c:v>
                </c:pt>
                <c:pt idx="1">
                  <c:v>62220.5</c:v>
                </c:pt>
                <c:pt idx="2">
                  <c:v>54544.7</c:v>
                </c:pt>
                <c:pt idx="3">
                  <c:v>57219.6</c:v>
                </c:pt>
                <c:pt idx="4">
                  <c:v>49543.8</c:v>
                </c:pt>
                <c:pt idx="5">
                  <c:v>48497.1</c:v>
                </c:pt>
                <c:pt idx="6">
                  <c:v>47101.5</c:v>
                </c:pt>
                <c:pt idx="7">
                  <c:v>48697.7</c:v>
                </c:pt>
              </c:numCache>
            </c:numRef>
          </c:val>
        </c:ser>
        <c:ser>
          <c:idx val="1"/>
          <c:order val="1"/>
          <c:tx>
            <c:strRef>
              <c:f>label 1</c:f>
              <c:strCache>
                <c:ptCount val="1"/>
                <c:pt idx="0">
                  <c:v>Природний газ</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36651.89</c:v>
                </c:pt>
                <c:pt idx="1">
                  <c:v>32892.42</c:v>
                </c:pt>
                <c:pt idx="2">
                  <c:v>29124.96</c:v>
                </c:pt>
                <c:pt idx="3">
                  <c:v>27048.65</c:v>
                </c:pt>
                <c:pt idx="4">
                  <c:v>29128.63</c:v>
                </c:pt>
                <c:pt idx="5">
                  <c:v>23938.58</c:v>
                </c:pt>
                <c:pt idx="6">
                  <c:v>27544.91</c:v>
                </c:pt>
                <c:pt idx="7">
                  <c:v>27583.8</c:v>
                </c:pt>
              </c:numCache>
            </c:numRef>
          </c:val>
        </c:ser>
        <c:ser>
          <c:idx val="2"/>
          <c:order val="2"/>
          <c:tx>
            <c:strRef>
              <c:f>label 2</c:f>
              <c:strCache>
                <c:ptCount val="1"/>
                <c:pt idx="0">
                  <c:v>Електроенергія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25607</c:v>
                </c:pt>
                <c:pt idx="1">
                  <c:v>29821</c:v>
                </c:pt>
                <c:pt idx="2">
                  <c:v>28380</c:v>
                </c:pt>
                <c:pt idx="3">
                  <c:v>25006</c:v>
                </c:pt>
                <c:pt idx="4">
                  <c:v>30955</c:v>
                </c:pt>
                <c:pt idx="5">
                  <c:v>29762</c:v>
                </c:pt>
                <c:pt idx="6">
                  <c:v>26588</c:v>
                </c:pt>
                <c:pt idx="7">
                  <c:v>22121.7</c:v>
                </c:pt>
              </c:numCache>
            </c:numRef>
          </c:val>
        </c:ser>
        <c:ser>
          <c:idx val="3"/>
          <c:order val="3"/>
          <c:tx>
            <c:strRef>
              <c:f>label 3</c:f>
              <c:strCache>
                <c:ptCount val="1"/>
                <c:pt idx="0">
                  <c:v>Деревина</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0</c:v>
                </c:pt>
                <c:pt idx="1">
                  <c:v>0</c:v>
                </c:pt>
                <c:pt idx="2">
                  <c:v>0</c:v>
                </c:pt>
                <c:pt idx="3">
                  <c:v>0</c:v>
                </c:pt>
                <c:pt idx="4">
                  <c:v>655.23</c:v>
                </c:pt>
                <c:pt idx="5">
                  <c:v>879.06</c:v>
                </c:pt>
                <c:pt idx="6">
                  <c:v>1655.89</c:v>
                </c:pt>
                <c:pt idx="7">
                  <c:v>1712</c:v>
                </c:pt>
              </c:numCache>
            </c:numRef>
          </c:val>
        </c:ser>
        <c:gapWidth val="100"/>
        <c:overlap val="100"/>
        <c:axId val="33989625"/>
        <c:axId val="24366368"/>
      </c:barChart>
      <c:catAx>
        <c:axId val="33989625"/>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1000" spc="-1" strike="noStrike">
                <a:solidFill>
                  <a:srgbClr val="000000"/>
                </a:solidFill>
                <a:latin typeface="Arial"/>
                <a:ea typeface="DejaVu Sans"/>
              </a:defRPr>
            </a:pPr>
          </a:p>
        </c:txPr>
        <c:crossAx val="24366368"/>
        <c:crosses val="autoZero"/>
        <c:auto val="1"/>
        <c:lblAlgn val="ctr"/>
        <c:lblOffset val="100"/>
        <c:noMultiLvlLbl val="0"/>
      </c:catAx>
      <c:valAx>
        <c:axId val="24366368"/>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3989625"/>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noFill/>
    <a:ln w="0">
      <a:noFill/>
    </a:ln>
  </c:spPr>
</c:chartSpace>
</file>

<file path=word/charts/chart3.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Загальна кількість води, що надана споживачеві*, тис. м3</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11316.1</c:v>
                </c:pt>
                <c:pt idx="1">
                  <c:v>11272</c:v>
                </c:pt>
                <c:pt idx="2">
                  <c:v>10879.2</c:v>
                </c:pt>
                <c:pt idx="3">
                  <c:v>11435.6</c:v>
                </c:pt>
                <c:pt idx="4">
                  <c:v>10892</c:v>
                </c:pt>
                <c:pt idx="5">
                  <c:v>9993</c:v>
                </c:pt>
                <c:pt idx="6">
                  <c:v>10302.4</c:v>
                </c:pt>
                <c:pt idx="7">
                  <c:v>10410</c:v>
                </c:pt>
              </c:numCache>
            </c:numRef>
          </c:val>
        </c:ser>
        <c:ser>
          <c:idx val="1"/>
          <c:order val="1"/>
          <c:tx>
            <c:strRef>
              <c:f>label 1</c:f>
              <c:strCache>
                <c:ptCount val="1"/>
                <c:pt idx="0">
                  <c:v>Загальна кількість виробленої питної води, тис. м3</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15717.4</c:v>
                </c:pt>
                <c:pt idx="1">
                  <c:v>16676.4</c:v>
                </c:pt>
                <c:pt idx="2">
                  <c:v>15735</c:v>
                </c:pt>
                <c:pt idx="3">
                  <c:v>15431.2</c:v>
                </c:pt>
                <c:pt idx="4">
                  <c:v>15418.2</c:v>
                </c:pt>
                <c:pt idx="5">
                  <c:v>15234.1</c:v>
                </c:pt>
                <c:pt idx="6">
                  <c:v>16041</c:v>
                </c:pt>
                <c:pt idx="7">
                  <c:v>16692.5</c:v>
                </c:pt>
              </c:numCache>
            </c:numRef>
          </c:val>
        </c:ser>
        <c:gapWidth val="100"/>
        <c:overlap val="0"/>
        <c:axId val="81622169"/>
        <c:axId val="49243548"/>
      </c:barChart>
      <c:catAx>
        <c:axId val="81622169"/>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49243548"/>
        <c:crosses val="autoZero"/>
        <c:auto val="1"/>
        <c:lblAlgn val="ctr"/>
        <c:lblOffset val="100"/>
        <c:noMultiLvlLbl val="0"/>
      </c:catAx>
      <c:valAx>
        <c:axId val="49243548"/>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81622169"/>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4.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Водопостачання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11478.7</c:v>
                </c:pt>
                <c:pt idx="1">
                  <c:v>11448.5</c:v>
                </c:pt>
                <c:pt idx="2">
                  <c:v>11067</c:v>
                </c:pt>
                <c:pt idx="3">
                  <c:v>11435.6</c:v>
                </c:pt>
                <c:pt idx="4">
                  <c:v>11086.2</c:v>
                </c:pt>
                <c:pt idx="5">
                  <c:v>9993</c:v>
                </c:pt>
                <c:pt idx="6">
                  <c:v>10302.4</c:v>
                </c:pt>
                <c:pt idx="7">
                  <c:v>10410.9</c:v>
                </c:pt>
              </c:numCache>
            </c:numRef>
          </c:val>
        </c:ser>
        <c:ser>
          <c:idx val="1"/>
          <c:order val="1"/>
          <c:tx>
            <c:strRef>
              <c:f>label 1</c:f>
              <c:strCache>
                <c:ptCount val="1"/>
                <c:pt idx="0">
                  <c:v>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10904.5</c:v>
                </c:pt>
                <c:pt idx="1">
                  <c:v>10293.1</c:v>
                </c:pt>
                <c:pt idx="2">
                  <c:v>10277.1</c:v>
                </c:pt>
                <c:pt idx="3">
                  <c:v>10367.4</c:v>
                </c:pt>
                <c:pt idx="4">
                  <c:v>10304.8</c:v>
                </c:pt>
                <c:pt idx="5">
                  <c:v>9239.9</c:v>
                </c:pt>
                <c:pt idx="6">
                  <c:v>9752.9</c:v>
                </c:pt>
                <c:pt idx="7">
                  <c:v>9704.79999999999</c:v>
                </c:pt>
              </c:numCache>
            </c:numRef>
          </c:val>
        </c:ser>
        <c:gapWidth val="100"/>
        <c:overlap val="0"/>
        <c:axId val="17890511"/>
        <c:axId val="4834989"/>
      </c:barChart>
      <c:catAx>
        <c:axId val="17890511"/>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4834989"/>
        <c:crosses val="autoZero"/>
        <c:auto val="1"/>
        <c:lblAlgn val="ctr"/>
        <c:lblOffset val="100"/>
        <c:noMultiLvlLbl val="0"/>
      </c:catAx>
      <c:valAx>
        <c:axId val="4834989"/>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7890511"/>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5.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Обсяги спожитої електроенергії КП «Луцькводоканал» </c:v>
                </c:pt>
              </c:strCache>
            </c:strRef>
          </c:tx>
          <c:spPr>
            <a:solidFill>
              <a:srgbClr val="004586"/>
            </a:solidFill>
            <a:ln w="0">
              <a:noFill/>
            </a:ln>
          </c:spPr>
          <c:invertIfNegative val="0"/>
          <c:dLbls>
            <c:numFmt formatCode="General" sourceLinked="0"/>
            <c:txPr>
              <a:bodyPr wrap="none"/>
              <a:lstStyle/>
              <a:p>
                <a:pPr>
                  <a:defRPr b="0" sz="1000" spc="-1" strike="noStrike">
                    <a:solidFill>
                      <a:srgbClr val="000000"/>
                    </a:solidFill>
                    <a:latin typeface="Arial"/>
                    <a:ea typeface="DejaVu Sans"/>
                  </a:defRPr>
                </a:pPr>
              </a:p>
            </c:txPr>
            <c:dLblPos val="outEnd"/>
            <c:showLegendKey val="0"/>
            <c:showVal val="1"/>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18</c:v>
                </c:pt>
                <c:pt idx="1">
                  <c:v>18.2</c:v>
                </c:pt>
                <c:pt idx="2">
                  <c:v>17.7</c:v>
                </c:pt>
                <c:pt idx="3">
                  <c:v>18.1</c:v>
                </c:pt>
                <c:pt idx="4">
                  <c:v>18.3</c:v>
                </c:pt>
                <c:pt idx="5">
                  <c:v>16.2</c:v>
                </c:pt>
                <c:pt idx="6">
                  <c:v>17.9</c:v>
                </c:pt>
                <c:pt idx="7">
                  <c:v>16.8</c:v>
                </c:pt>
              </c:numCache>
            </c:numRef>
          </c:val>
        </c:ser>
        <c:gapWidth val="100"/>
        <c:overlap val="0"/>
        <c:axId val="38843735"/>
        <c:axId val="32940746"/>
      </c:barChart>
      <c:catAx>
        <c:axId val="38843735"/>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2940746"/>
        <c:crosses val="autoZero"/>
        <c:auto val="1"/>
        <c:lblAlgn val="ctr"/>
        <c:lblOffset val="100"/>
        <c:noMultiLvlLbl val="0"/>
      </c:catAx>
      <c:valAx>
        <c:axId val="32940746"/>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8843735"/>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6.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ineChart>
        <c:grouping val="standard"/>
        <c:varyColors val="0"/>
        <c:ser>
          <c:idx val="0"/>
          <c:order val="0"/>
          <c:tx>
            <c:strRef>
              <c:f>label 0</c:f>
              <c:strCache>
                <c:ptCount val="1"/>
                <c:pt idx="0">
                  <c:v>Електроенергія, МВт.год</c:v>
                </c:pt>
              </c:strCache>
            </c:strRef>
          </c:tx>
          <c:spPr>
            <a:solidFill>
              <a:srgbClr val="004586"/>
            </a:solidFill>
            <a:ln w="28800">
              <a:solidFill>
                <a:srgbClr val="004586"/>
              </a:solidFill>
              <a:round/>
            </a:ln>
          </c:spPr>
          <c:marker>
            <c:symbol val="square"/>
            <c:size val="8"/>
            <c:spPr>
              <a:solidFill>
                <a:srgbClr val="004586"/>
              </a:solidFill>
            </c:spPr>
          </c:marker>
          <c:dPt>
            <c:idx val="0"/>
            <c:marker>
              <c:symbol val="square"/>
              <c:size val="8"/>
              <c:spPr>
                <a:solidFill>
                  <a:srgbClr val="004586"/>
                </a:solidFill>
              </c:spPr>
            </c:marker>
          </c:dPt>
          <c:dLbls>
            <c:numFmt formatCode="General" sourceLinked="0"/>
            <c:dLbl>
              <c:idx val="0"/>
              <c:layout>
                <c:manualLayout>
                  <c:x val="0.0384304207119741"/>
                  <c:y val="-0.0681916271040138"/>
                </c:manualLayout>
              </c:layout>
              <c:numFmt formatCode="General" sourceLinked="0"/>
              <c:txPr>
                <a:bodyPr wrap="none"/>
                <a:lstStyle/>
                <a:p>
                  <a:pPr>
                    <a:defRPr b="0" sz="1000" spc="-1" strike="noStrike">
                      <a:solidFill>
                        <a:srgbClr val="000000"/>
                      </a:solidFill>
                      <a:latin typeface="Arial"/>
                    </a:defRPr>
                  </a:pPr>
                </a:p>
              </c:txPr>
              <c:dLblPos val="t"/>
              <c:showLegendKey val="0"/>
              <c:showVal val="1"/>
              <c:showCatName val="0"/>
              <c:showSerName val="0"/>
              <c:showPercent val="0"/>
              <c:separator> </c:separator>
            </c:dLbl>
            <c:txPr>
              <a:bodyPr wrap="none"/>
              <a:lstStyle/>
              <a:p>
                <a:pPr>
                  <a:defRPr b="0" sz="1000" spc="-1" strike="noStrike">
                    <a:solidFill>
                      <a:srgbClr val="000000"/>
                    </a:solidFill>
                    <a:latin typeface="Arial"/>
                    <a:ea typeface="DejaVu Sans"/>
                  </a:defRPr>
                </a:pPr>
              </a:p>
            </c:txPr>
            <c:dLblPos val="t"/>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3508</c:v>
                </c:pt>
                <c:pt idx="1">
                  <c:v>3465</c:v>
                </c:pt>
                <c:pt idx="2">
                  <c:v>3619</c:v>
                </c:pt>
                <c:pt idx="3">
                  <c:v>3936</c:v>
                </c:pt>
                <c:pt idx="4">
                  <c:v>4820</c:v>
                </c:pt>
                <c:pt idx="5">
                  <c:v>3528</c:v>
                </c:pt>
                <c:pt idx="6">
                  <c:v>3425</c:v>
                </c:pt>
                <c:pt idx="7">
                  <c:v>3932</c:v>
                </c:pt>
              </c:numCache>
            </c:numRef>
          </c:val>
          <c:smooth val="0"/>
        </c:ser>
        <c:hiLowLines>
          <c:spPr>
            <a:ln w="0">
              <a:noFill/>
            </a:ln>
          </c:spPr>
        </c:hiLowLines>
        <c:marker val="1"/>
        <c:axId val="5584169"/>
        <c:axId val="18505850"/>
      </c:lineChart>
      <c:catAx>
        <c:axId val="5584169"/>
        <c:scaling>
          <c:orientation val="minMax"/>
        </c:scaling>
        <c:delete val="0"/>
        <c:axPos val="b"/>
        <c:numFmt formatCode="General" sourceLinked="0"/>
        <c:majorTickMark val="out"/>
        <c:minorTickMark val="none"/>
        <c:tickLblPos val="nextTo"/>
        <c:spPr>
          <a:ln w="0">
            <a:solidFill>
              <a:srgbClr val="b3b3b3"/>
            </a:solidFill>
          </a:ln>
        </c:spPr>
        <c:txPr>
          <a:bodyPr rot="-3600000"/>
          <a:lstStyle/>
          <a:p>
            <a:pPr>
              <a:defRPr b="0" sz="1000" spc="-1" strike="noStrike">
                <a:solidFill>
                  <a:srgbClr val="000000"/>
                </a:solidFill>
                <a:latin typeface="Arial"/>
                <a:ea typeface="DejaVu Sans"/>
              </a:defRPr>
            </a:pPr>
          </a:p>
        </c:txPr>
        <c:crossAx val="18505850"/>
        <c:crosses val="autoZero"/>
        <c:auto val="1"/>
        <c:lblAlgn val="ctr"/>
        <c:lblOffset val="100"/>
        <c:noMultiLvlLbl val="0"/>
      </c:catAx>
      <c:valAx>
        <c:axId val="18505850"/>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5584169"/>
        <c:crosses val="autoZero"/>
        <c:crossBetween val="midCat"/>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7.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ayout>
        <c:manualLayout>
          <c:layoutTarget val="inner"/>
          <c:xMode val="edge"/>
          <c:yMode val="edge"/>
          <c:x val="0.266625"/>
          <c:y val="0.0541111111111111"/>
          <c:w val="0.7133125"/>
          <c:h val="0.610111111111111"/>
        </c:manualLayout>
      </c:layout>
      <c:barChart>
        <c:barDir val="col"/>
        <c:grouping val="stacked"/>
        <c:varyColors val="0"/>
        <c:ser>
          <c:idx val="0"/>
          <c:order val="0"/>
          <c:tx>
            <c:strRef>
              <c:f>label 0</c:f>
              <c:strCache>
                <c:ptCount val="1"/>
                <c:pt idx="0">
                  <c:v>Теплова енергія</c:v>
                </c:pt>
              </c:strCache>
            </c:strRef>
          </c:tx>
          <c:spPr>
            <a:solidFill>
              <a:srgbClr val="ff00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432519.7</c:v>
                </c:pt>
                <c:pt idx="1">
                  <c:v>454384.1</c:v>
                </c:pt>
                <c:pt idx="2">
                  <c:v>344713.2</c:v>
                </c:pt>
                <c:pt idx="3">
                  <c:v>360397.4</c:v>
                </c:pt>
                <c:pt idx="4">
                  <c:v>370880.7</c:v>
                </c:pt>
                <c:pt idx="5">
                  <c:v>301100.7</c:v>
                </c:pt>
                <c:pt idx="6">
                  <c:v>297844.3</c:v>
                </c:pt>
                <c:pt idx="7">
                  <c:v>304099.4</c:v>
                </c:pt>
              </c:numCache>
            </c:numRef>
          </c:val>
        </c:ser>
        <c:ser>
          <c:idx val="1"/>
          <c:order val="1"/>
          <c:tx>
            <c:strRef>
              <c:f>label 1</c:f>
              <c:strCache>
                <c:ptCount val="1"/>
                <c:pt idx="0">
                  <c:v>Газопостачання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755331.3</c:v>
                </c:pt>
                <c:pt idx="1">
                  <c:v>697492.1</c:v>
                </c:pt>
                <c:pt idx="2">
                  <c:v>585261.1</c:v>
                </c:pt>
                <c:pt idx="3">
                  <c:v>635139.699999999</c:v>
                </c:pt>
                <c:pt idx="4">
                  <c:v>660366.1</c:v>
                </c:pt>
                <c:pt idx="5">
                  <c:v>657293.1</c:v>
                </c:pt>
                <c:pt idx="6">
                  <c:v>665976.1</c:v>
                </c:pt>
                <c:pt idx="7">
                  <c:v>642862.5</c:v>
                </c:pt>
              </c:numCache>
            </c:numRef>
          </c:val>
        </c:ser>
        <c:ser>
          <c:idx val="2"/>
          <c:order val="2"/>
          <c:tx>
            <c:strRef>
              <c:f>label 2</c:f>
              <c:strCache>
                <c:ptCount val="1"/>
                <c:pt idx="0">
                  <c:v>Електропостачання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135876</c:v>
                </c:pt>
                <c:pt idx="1">
                  <c:v>136356</c:v>
                </c:pt>
                <c:pt idx="2">
                  <c:v>138887</c:v>
                </c:pt>
                <c:pt idx="3">
                  <c:v>215333</c:v>
                </c:pt>
                <c:pt idx="4">
                  <c:v>233591</c:v>
                </c:pt>
                <c:pt idx="5">
                  <c:v>228839</c:v>
                </c:pt>
                <c:pt idx="6">
                  <c:v>150141</c:v>
                </c:pt>
                <c:pt idx="7">
                  <c:v>148908.6</c:v>
                </c:pt>
              </c:numCache>
            </c:numRef>
          </c:val>
        </c:ser>
        <c:ser>
          <c:idx val="3"/>
          <c:order val="3"/>
          <c:tx>
            <c:strRef>
              <c:f>label 3</c:f>
              <c:strCache>
                <c:ptCount val="1"/>
                <c:pt idx="0">
                  <c:v>Деревина</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74194.7</c:v>
                </c:pt>
                <c:pt idx="1">
                  <c:v>76489.38</c:v>
                </c:pt>
                <c:pt idx="2">
                  <c:v>78855.03</c:v>
                </c:pt>
                <c:pt idx="3">
                  <c:v>81293.84</c:v>
                </c:pt>
                <c:pt idx="4">
                  <c:v>81385.94</c:v>
                </c:pt>
                <c:pt idx="5">
                  <c:v>81478.04</c:v>
                </c:pt>
                <c:pt idx="6">
                  <c:v>81885.43</c:v>
                </c:pt>
                <c:pt idx="7">
                  <c:v>83605.1</c:v>
                </c:pt>
              </c:numCache>
            </c:numRef>
          </c:val>
        </c:ser>
        <c:gapWidth val="100"/>
        <c:overlap val="100"/>
        <c:axId val="70306246"/>
        <c:axId val="7305890"/>
      </c:barChart>
      <c:catAx>
        <c:axId val="70306246"/>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700" spc="-1" strike="noStrike">
                <a:solidFill>
                  <a:srgbClr val="000000"/>
                </a:solidFill>
                <a:latin typeface="Arial"/>
                <a:ea typeface="DejaVu Sans"/>
              </a:defRPr>
            </a:pPr>
          </a:p>
        </c:txPr>
        <c:crossAx val="7305890"/>
        <c:crosses val="autoZero"/>
        <c:auto val="1"/>
        <c:lblAlgn val="ctr"/>
        <c:lblOffset val="100"/>
        <c:noMultiLvlLbl val="0"/>
      </c:catAx>
      <c:valAx>
        <c:axId val="7305890"/>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800" spc="-1" strike="noStrike">
                <a:solidFill>
                  <a:srgbClr val="000000"/>
                </a:solidFill>
                <a:latin typeface="Arial"/>
                <a:ea typeface="DejaVu Sans"/>
              </a:defRPr>
            </a:pPr>
          </a:p>
        </c:txPr>
        <c:crossAx val="70306246"/>
        <c:crossesAt val="1"/>
        <c:crossBetween val="between"/>
      </c:valAx>
      <c:spPr>
        <a:noFill/>
        <a:ln w="0">
          <a:solidFill>
            <a:srgbClr val="b3b3b3"/>
          </a:solidFill>
        </a:ln>
      </c:spPr>
    </c:plotArea>
    <c:legend>
      <c:legendPos val="b"/>
      <c:layout>
        <c:manualLayout>
          <c:xMode val="edge"/>
          <c:yMode val="edge"/>
          <c:x val="0.133625"/>
          <c:y val="0.827888888888889"/>
          <c:w val="0.808863053940871"/>
          <c:h val="0.159795532836982"/>
        </c:manualLayout>
      </c:layout>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noFill/>
    <a:ln w="0">
      <a:noFill/>
    </a:ln>
  </c:spPr>
</c:chartSpace>
</file>

<file path=word/charts/chart8.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stacked"/>
        <c:varyColors val="0"/>
        <c:ser>
          <c:idx val="0"/>
          <c:order val="0"/>
          <c:tx>
            <c:strRef>
              <c:f>label 0</c:f>
              <c:strCache>
                <c:ptCount val="1"/>
                <c:pt idx="0">
                  <c:v>Бюджетні установи</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54.9</c:v>
                </c:pt>
                <c:pt idx="1">
                  <c:v>53.5</c:v>
                </c:pt>
                <c:pt idx="2">
                  <c:v>46.9</c:v>
                </c:pt>
                <c:pt idx="3">
                  <c:v>49.2</c:v>
                </c:pt>
                <c:pt idx="4">
                  <c:v>42.6</c:v>
                </c:pt>
                <c:pt idx="5">
                  <c:v>41.7</c:v>
                </c:pt>
                <c:pt idx="6">
                  <c:v>40.5</c:v>
                </c:pt>
                <c:pt idx="7">
                  <c:v>41.9</c:v>
                </c:pt>
              </c:numCache>
            </c:numRef>
          </c:val>
        </c:ser>
        <c:ser>
          <c:idx val="1"/>
          <c:order val="1"/>
          <c:tx>
            <c:strRef>
              <c:f>label 1</c:f>
              <c:strCache>
                <c:ptCount val="1"/>
                <c:pt idx="0">
                  <c:v>Населення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371.8</c:v>
                </c:pt>
                <c:pt idx="1">
                  <c:v>390.7</c:v>
                </c:pt>
                <c:pt idx="2">
                  <c:v>296.4</c:v>
                </c:pt>
                <c:pt idx="3">
                  <c:v>309.8</c:v>
                </c:pt>
                <c:pt idx="4">
                  <c:v>318.9</c:v>
                </c:pt>
                <c:pt idx="5">
                  <c:v>258.9</c:v>
                </c:pt>
                <c:pt idx="6">
                  <c:v>256.1</c:v>
                </c:pt>
                <c:pt idx="7">
                  <c:v>261.5</c:v>
                </c:pt>
              </c:numCache>
            </c:numRef>
          </c:val>
        </c:ser>
        <c:ser>
          <c:idx val="2"/>
          <c:order val="2"/>
          <c:tx>
            <c:strRef>
              <c:f>label 2</c:f>
              <c:strCache>
                <c:ptCount val="1"/>
                <c:pt idx="0">
                  <c:v>Промисловість</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5.9</c:v>
                </c:pt>
                <c:pt idx="1">
                  <c:v>0</c:v>
                </c:pt>
                <c:pt idx="2">
                  <c:v>0</c:v>
                </c:pt>
                <c:pt idx="3">
                  <c:v>0</c:v>
                </c:pt>
                <c:pt idx="4">
                  <c:v>0</c:v>
                </c:pt>
                <c:pt idx="5">
                  <c:v>0</c:v>
                </c:pt>
                <c:pt idx="6">
                  <c:v>0</c:v>
                </c:pt>
                <c:pt idx="7">
                  <c:v>0</c:v>
                </c:pt>
              </c:numCache>
            </c:numRef>
          </c:val>
        </c:ser>
        <c:ser>
          <c:idx val="3"/>
          <c:order val="3"/>
          <c:tx>
            <c:strRef>
              <c:f>label 3</c:f>
              <c:strCache>
                <c:ptCount val="1"/>
                <c:pt idx="0">
                  <c:v>Інші споживачі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14.3</c:v>
                </c:pt>
                <c:pt idx="1">
                  <c:v>18.3</c:v>
                </c:pt>
                <c:pt idx="2">
                  <c:v>11.9</c:v>
                </c:pt>
                <c:pt idx="3">
                  <c:v>10.4</c:v>
                </c:pt>
                <c:pt idx="4">
                  <c:v>12.1</c:v>
                </c:pt>
                <c:pt idx="5">
                  <c:v>8.1</c:v>
                </c:pt>
                <c:pt idx="6">
                  <c:v>10.4</c:v>
                </c:pt>
                <c:pt idx="7">
                  <c:v>9.2</c:v>
                </c:pt>
              </c:numCache>
            </c:numRef>
          </c:val>
        </c:ser>
        <c:ser>
          <c:idx val="4"/>
          <c:order val="4"/>
          <c:tx>
            <c:strRef>
              <c:f>label 4</c:f>
              <c:strCache>
                <c:ptCount val="1"/>
                <c:pt idx="0">
                  <c:v>Релігійні організації</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0.15</c:v>
                </c:pt>
                <c:pt idx="1">
                  <c:v>0.17</c:v>
                </c:pt>
                <c:pt idx="2">
                  <c:v>0.770000000000001</c:v>
                </c:pt>
                <c:pt idx="3">
                  <c:v>0.760000000000001</c:v>
                </c:pt>
                <c:pt idx="4">
                  <c:v>0.85</c:v>
                </c:pt>
                <c:pt idx="5">
                  <c:v>0.1</c:v>
                </c:pt>
                <c:pt idx="6">
                  <c:v>0.12</c:v>
                </c:pt>
                <c:pt idx="7">
                  <c:v>0.14</c:v>
                </c:pt>
              </c:numCache>
            </c:numRef>
          </c:val>
        </c:ser>
        <c:gapWidth val="100"/>
        <c:overlap val="100"/>
        <c:axId val="36793037"/>
        <c:axId val="40979889"/>
      </c:barChart>
      <c:catAx>
        <c:axId val="36793037"/>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1000" spc="-1" strike="noStrike">
                <a:solidFill>
                  <a:srgbClr val="000000"/>
                </a:solidFill>
                <a:latin typeface="Arial"/>
                <a:ea typeface="DejaVu Sans"/>
              </a:defRPr>
            </a:pPr>
          </a:p>
        </c:txPr>
        <c:crossAx val="40979889"/>
        <c:crosses val="autoZero"/>
        <c:auto val="1"/>
        <c:lblAlgn val="ctr"/>
        <c:lblOffset val="100"/>
        <c:noMultiLvlLbl val="0"/>
      </c:catAx>
      <c:valAx>
        <c:axId val="40979889"/>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6793037"/>
        <c:crosses val="autoZero"/>
        <c:crossBetween val="between"/>
      </c:valAx>
      <c:spPr>
        <a:noFill/>
        <a:ln w="0">
          <a:solidFill>
            <a:srgbClr val="b3b3b3"/>
          </a:solidFill>
        </a:ln>
      </c:spPr>
    </c:plotArea>
    <c:legend>
      <c:legendPos val="b"/>
      <c:overlay val="0"/>
      <c:spPr>
        <a:noFill/>
        <a:ln w="0">
          <a:noFill/>
        </a:ln>
      </c:spPr>
      <c:txPr>
        <a:bodyPr/>
        <a:lstStyle/>
        <a:p>
          <a:pPr>
            <a:defRPr b="0" sz="900" spc="-1" strike="noStrike">
              <a:solidFill>
                <a:srgbClr val="000000"/>
              </a:solidFill>
              <a:latin typeface="Calibri"/>
              <a:ea typeface="DejaVu Sans"/>
            </a:defRPr>
          </a:pPr>
        </a:p>
      </c:txPr>
    </c:legend>
    <c:plotVisOnly val="1"/>
    <c:dispBlanksAs val="gap"/>
  </c:chart>
  <c:spPr>
    <a:noFill/>
    <a:ln w="0">
      <a:noFill/>
    </a:ln>
  </c:spPr>
</c:chartSpace>
</file>

<file path=word/charts/chart9.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Споживання газу</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649.839</c:v>
                </c:pt>
                <c:pt idx="1">
                  <c:v>644.598</c:v>
                </c:pt>
                <c:pt idx="2">
                  <c:v>582.141</c:v>
                </c:pt>
                <c:pt idx="3">
                  <c:v>564.631</c:v>
                </c:pt>
                <c:pt idx="4">
                  <c:v>594.979</c:v>
                </c:pt>
                <c:pt idx="5">
                  <c:v>485.444</c:v>
                </c:pt>
                <c:pt idx="6">
                  <c:v>482.834</c:v>
                </c:pt>
                <c:pt idx="7">
                  <c:v>492.803</c:v>
                </c:pt>
              </c:numCache>
            </c:numRef>
          </c:val>
        </c:ser>
        <c:ser>
          <c:idx val="1"/>
          <c:order val="1"/>
          <c:tx>
            <c:strRef>
              <c:f>label 1</c:f>
              <c:strCache>
                <c:ptCount val="1"/>
                <c:pt idx="0">
                  <c:v>Споживання електроенергії</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20.184</c:v>
                </c:pt>
                <c:pt idx="1">
                  <c:v>19.963</c:v>
                </c:pt>
                <c:pt idx="2">
                  <c:v>19.332</c:v>
                </c:pt>
                <c:pt idx="3">
                  <c:v>20.253</c:v>
                </c:pt>
                <c:pt idx="4">
                  <c:v>19.519</c:v>
                </c:pt>
                <c:pt idx="5">
                  <c:v>16.979</c:v>
                </c:pt>
                <c:pt idx="6">
                  <c:v>14.796</c:v>
                </c:pt>
                <c:pt idx="7">
                  <c:v>14.428</c:v>
                </c:pt>
              </c:numCache>
            </c:numRef>
          </c:val>
        </c:ser>
        <c:ser>
          <c:idx val="2"/>
          <c:order val="2"/>
          <c:tx>
            <c:strRef>
              <c:f>label 2</c:f>
              <c:strCache>
                <c:ptCount val="1"/>
                <c:pt idx="0">
                  <c:v>Споживання тріски </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0</c:v>
                </c:pt>
                <c:pt idx="1">
                  <c:v>0</c:v>
                </c:pt>
                <c:pt idx="2">
                  <c:v>12.505</c:v>
                </c:pt>
                <c:pt idx="3">
                  <c:v>41.272</c:v>
                </c:pt>
                <c:pt idx="4">
                  <c:v>40.391</c:v>
                </c:pt>
                <c:pt idx="5">
                  <c:v>38.229</c:v>
                </c:pt>
                <c:pt idx="6">
                  <c:v>51.319</c:v>
                </c:pt>
                <c:pt idx="7">
                  <c:v>47.12</c:v>
                </c:pt>
              </c:numCache>
            </c:numRef>
          </c:val>
        </c:ser>
        <c:gapWidth val="100"/>
        <c:overlap val="0"/>
        <c:axId val="1744691"/>
        <c:axId val="462400"/>
      </c:barChart>
      <c:catAx>
        <c:axId val="1744691"/>
        <c:scaling>
          <c:orientation val="minMax"/>
        </c:scaling>
        <c:delete val="0"/>
        <c:axPos val="b"/>
        <c:numFmt formatCode="General" sourceLinked="0"/>
        <c:majorTickMark val="out"/>
        <c:minorTickMark val="none"/>
        <c:tickLblPos val="nextTo"/>
        <c:spPr>
          <a:ln w="0">
            <a:solidFill>
              <a:srgbClr val="b3b3b3"/>
            </a:solidFill>
          </a:ln>
        </c:spPr>
        <c:txPr>
          <a:bodyPr rot="-3600000"/>
          <a:lstStyle/>
          <a:p>
            <a:pPr>
              <a:defRPr b="0" sz="900" spc="-1" strike="noStrike">
                <a:solidFill>
                  <a:srgbClr val="000000"/>
                </a:solidFill>
                <a:latin typeface="Arial"/>
                <a:ea typeface="DejaVu Sans"/>
              </a:defRPr>
            </a:pPr>
          </a:p>
        </c:txPr>
        <c:crossAx val="462400"/>
        <c:crosses val="autoZero"/>
        <c:auto val="1"/>
        <c:lblAlgn val="ctr"/>
        <c:lblOffset val="100"/>
        <c:noMultiLvlLbl val="0"/>
      </c:catAx>
      <c:valAx>
        <c:axId val="462400"/>
        <c:scaling>
          <c:orientation val="minMax"/>
          <c:max val="700"/>
          <c:min val="0"/>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900" spc="-1" strike="noStrike">
                <a:solidFill>
                  <a:srgbClr val="000000"/>
                </a:solidFill>
                <a:latin typeface="Arial"/>
                <a:ea typeface="DejaVu Sans"/>
              </a:defRPr>
            </a:pPr>
          </a:p>
        </c:txPr>
        <c:crossAx val="1744691"/>
        <c:crossesAt val="1"/>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0.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stacked"/>
        <c:varyColors val="0"/>
        <c:ser>
          <c:idx val="0"/>
          <c:order val="0"/>
          <c:tx>
            <c:strRef>
              <c:f>label 0</c:f>
              <c:strCache>
                <c:ptCount val="1"/>
                <c:pt idx="0">
                  <c:v>Бюджетний сектор</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3903.29</c:v>
                </c:pt>
                <c:pt idx="1">
                  <c:v>3502.92</c:v>
                </c:pt>
                <c:pt idx="2">
                  <c:v>3109.72</c:v>
                </c:pt>
                <c:pt idx="3">
                  <c:v>2880.58</c:v>
                </c:pt>
                <c:pt idx="4">
                  <c:v>3102.09</c:v>
                </c:pt>
                <c:pt idx="5">
                  <c:v>2549.37</c:v>
                </c:pt>
                <c:pt idx="6">
                  <c:v>2933.43</c:v>
                </c:pt>
                <c:pt idx="7">
                  <c:v>2937.57</c:v>
                </c:pt>
              </c:numCache>
            </c:numRef>
          </c:val>
        </c:ser>
        <c:ser>
          <c:idx val="1"/>
          <c:order val="1"/>
          <c:tx>
            <c:strRef>
              <c:f>label 1</c:f>
              <c:strCache>
                <c:ptCount val="1"/>
                <c:pt idx="0">
                  <c:v>Населення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80439.97</c:v>
                </c:pt>
                <c:pt idx="1">
                  <c:v>74280.31</c:v>
                </c:pt>
                <c:pt idx="2">
                  <c:v>62328.13</c:v>
                </c:pt>
                <c:pt idx="3">
                  <c:v>67640.01</c:v>
                </c:pt>
                <c:pt idx="4">
                  <c:v>70326.53</c:v>
                </c:pt>
                <c:pt idx="5">
                  <c:v>69999.26</c:v>
                </c:pt>
                <c:pt idx="6">
                  <c:v>70923.97</c:v>
                </c:pt>
                <c:pt idx="7">
                  <c:v>68462.46</c:v>
                </c:pt>
              </c:numCache>
            </c:numRef>
          </c:val>
        </c:ser>
        <c:ser>
          <c:idx val="2"/>
          <c:order val="2"/>
          <c:tx>
            <c:strRef>
              <c:f>label 2</c:f>
              <c:strCache>
                <c:ptCount val="1"/>
                <c:pt idx="0">
                  <c:v>Промислові підприємства</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39769.27</c:v>
                </c:pt>
                <c:pt idx="1">
                  <c:v>36250.58</c:v>
                </c:pt>
                <c:pt idx="2">
                  <c:v>34123</c:v>
                </c:pt>
                <c:pt idx="3">
                  <c:v>20581.53</c:v>
                </c:pt>
                <c:pt idx="4">
                  <c:v>19462.48</c:v>
                </c:pt>
                <c:pt idx="5">
                  <c:v>13216.37</c:v>
                </c:pt>
                <c:pt idx="6">
                  <c:v>33381.65</c:v>
                </c:pt>
                <c:pt idx="7">
                  <c:v>39565.2</c:v>
                </c:pt>
              </c:numCache>
            </c:numRef>
          </c:val>
        </c:ser>
        <c:ser>
          <c:idx val="3"/>
          <c:order val="3"/>
          <c:tx>
            <c:strRef>
              <c:f>label 3</c:f>
              <c:strCache>
                <c:ptCount val="1"/>
                <c:pt idx="0">
                  <c:v>Інші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3224.54</c:v>
                </c:pt>
                <c:pt idx="1">
                  <c:v>2939.24</c:v>
                </c:pt>
                <c:pt idx="2">
                  <c:v>2766.73</c:v>
                </c:pt>
                <c:pt idx="3">
                  <c:v>1673.33</c:v>
                </c:pt>
                <c:pt idx="4">
                  <c:v>1964.99</c:v>
                </c:pt>
                <c:pt idx="5">
                  <c:v>939.08</c:v>
                </c:pt>
                <c:pt idx="6">
                  <c:v>2706.62</c:v>
                </c:pt>
                <c:pt idx="7">
                  <c:v>0</c:v>
                </c:pt>
              </c:numCache>
            </c:numRef>
          </c:val>
        </c:ser>
        <c:ser>
          <c:idx val="4"/>
          <c:order val="4"/>
          <c:tx>
            <c:strRef>
              <c:f>label 4</c:f>
              <c:strCache>
                <c:ptCount val="1"/>
                <c:pt idx="0">
                  <c:v>Теплопостачальна організація</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69205.39</c:v>
                </c:pt>
                <c:pt idx="1">
                  <c:v>68647.33</c:v>
                </c:pt>
                <c:pt idx="2">
                  <c:v>61995.78</c:v>
                </c:pt>
                <c:pt idx="3">
                  <c:v>60131.04</c:v>
                </c:pt>
                <c:pt idx="4">
                  <c:v>63363.01</c:v>
                </c:pt>
                <c:pt idx="5">
                  <c:v>51697.95</c:v>
                </c:pt>
                <c:pt idx="6">
                  <c:v>51419.95</c:v>
                </c:pt>
                <c:pt idx="7">
                  <c:v>52734.87</c:v>
                </c:pt>
              </c:numCache>
            </c:numRef>
          </c:val>
        </c:ser>
        <c:gapWidth val="100"/>
        <c:overlap val="100"/>
        <c:axId val="38198760"/>
        <c:axId val="50093725"/>
      </c:barChart>
      <c:catAx>
        <c:axId val="38198760"/>
        <c:scaling>
          <c:orientation val="minMax"/>
        </c:scaling>
        <c:delete val="0"/>
        <c:axPos val="b"/>
        <c:numFmt formatCode="[$-422]dd/mm/yyyy" sourceLinked="0"/>
        <c:majorTickMark val="out"/>
        <c:minorTickMark val="none"/>
        <c:tickLblPos val="nextTo"/>
        <c:spPr>
          <a:ln w="0">
            <a:solidFill>
              <a:srgbClr val="b3b3b3"/>
            </a:solidFill>
          </a:ln>
        </c:spPr>
        <c:txPr>
          <a:bodyPr/>
          <a:lstStyle/>
          <a:p>
            <a:pPr>
              <a:defRPr b="0" sz="900" spc="-1" strike="noStrike">
                <a:solidFill>
                  <a:srgbClr val="000000"/>
                </a:solidFill>
                <a:latin typeface="Arial"/>
                <a:ea typeface="DejaVu Sans"/>
              </a:defRPr>
            </a:pPr>
          </a:p>
        </c:txPr>
        <c:crossAx val="50093725"/>
        <c:crosses val="autoZero"/>
        <c:auto val="1"/>
        <c:lblAlgn val="ctr"/>
        <c:lblOffset val="100"/>
        <c:noMultiLvlLbl val="0"/>
      </c:catAx>
      <c:valAx>
        <c:axId val="50093725"/>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900" spc="-1" strike="noStrike">
                <a:solidFill>
                  <a:srgbClr val="000000"/>
                </a:solidFill>
                <a:latin typeface="Arial"/>
                <a:ea typeface="DejaVu Sans"/>
              </a:defRPr>
            </a:pPr>
          </a:p>
        </c:txPr>
        <c:crossAx val="38198760"/>
        <c:crossesAt val="1"/>
        <c:crossBetween val="between"/>
      </c:valAx>
      <c:spPr>
        <a:noFill/>
        <a:ln w="0">
          <a:solidFill>
            <a:srgbClr val="b3b3b3"/>
          </a:solidFill>
        </a:ln>
      </c:spPr>
    </c:plotArea>
    <c:legend>
      <c:legendPos val="b"/>
      <c:overlay val="0"/>
      <c:spPr>
        <a:noFill/>
        <a:ln w="0">
          <a:noFill/>
        </a:ln>
      </c:spPr>
      <c:txPr>
        <a:bodyPr/>
        <a:lstStyle/>
        <a:p>
          <a:pPr>
            <a:defRPr b="0" sz="900" spc="-1" strike="noStrike">
              <a:solidFill>
                <a:srgbClr val="000000"/>
              </a:solidFill>
              <a:latin typeface="Arial"/>
              <a:ea typeface="DejaVu Sans"/>
            </a:defRPr>
          </a:pPr>
        </a:p>
      </c:txPr>
    </c:legend>
    <c:plotVisOnly val="1"/>
    <c:dispBlanksAs val="gap"/>
  </c:chart>
  <c:spPr>
    <a:noFill/>
    <a:ln w="0">
      <a:noFill/>
    </a:ln>
  </c:spPr>
</c:chartSpace>
</file>

<file path=word/charts/chart1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ayout>
        <c:manualLayout>
          <c:layoutTarget val="inner"/>
          <c:xMode val="edge"/>
          <c:yMode val="edge"/>
          <c:x val="0.1178125"/>
          <c:y val="0.0421111111111111"/>
          <c:w val="0.862"/>
          <c:h val="0.624222222222222"/>
        </c:manualLayout>
      </c:layout>
      <c:barChart>
        <c:barDir val="col"/>
        <c:grouping val="stacked"/>
        <c:varyColors val="0"/>
        <c:ser>
          <c:idx val="0"/>
          <c:order val="0"/>
          <c:tx>
            <c:strRef>
              <c:f>label 0</c:f>
              <c:strCache>
                <c:ptCount val="1"/>
                <c:pt idx="0">
                  <c:v>Громадські будівлі</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25607</c:v>
                </c:pt>
                <c:pt idx="1">
                  <c:v>29821</c:v>
                </c:pt>
                <c:pt idx="2">
                  <c:v>28380</c:v>
                </c:pt>
                <c:pt idx="3">
                  <c:v>25006</c:v>
                </c:pt>
                <c:pt idx="4">
                  <c:v>30955</c:v>
                </c:pt>
                <c:pt idx="5">
                  <c:v>29762</c:v>
                </c:pt>
                <c:pt idx="6">
                  <c:v>26588</c:v>
                </c:pt>
                <c:pt idx="7">
                  <c:v>21121.7</c:v>
                </c:pt>
              </c:numCache>
            </c:numRef>
          </c:val>
        </c:ser>
        <c:ser>
          <c:idx val="1"/>
          <c:order val="1"/>
          <c:tx>
            <c:strRef>
              <c:f>label 1</c:f>
              <c:strCache>
                <c:ptCount val="1"/>
                <c:pt idx="0">
                  <c:v>Об'єкти водопостачання та 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18000</c:v>
                </c:pt>
                <c:pt idx="1">
                  <c:v>18200</c:v>
                </c:pt>
                <c:pt idx="2">
                  <c:v>17700</c:v>
                </c:pt>
                <c:pt idx="3">
                  <c:v>18100</c:v>
                </c:pt>
                <c:pt idx="4">
                  <c:v>18300</c:v>
                </c:pt>
                <c:pt idx="5">
                  <c:v>16200</c:v>
                </c:pt>
                <c:pt idx="6">
                  <c:v>17938</c:v>
                </c:pt>
                <c:pt idx="7">
                  <c:v>16757</c:v>
                </c:pt>
              </c:numCache>
            </c:numRef>
          </c:val>
        </c:ser>
        <c:ser>
          <c:idx val="2"/>
          <c:order val="2"/>
          <c:tx>
            <c:strRef>
              <c:f>label 2</c:f>
              <c:strCache>
                <c:ptCount val="1"/>
                <c:pt idx="0">
                  <c:v>Об'єкти зовінішнього освітлення </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3508</c:v>
                </c:pt>
                <c:pt idx="1">
                  <c:v>3465</c:v>
                </c:pt>
                <c:pt idx="2">
                  <c:v>3619</c:v>
                </c:pt>
                <c:pt idx="3">
                  <c:v>3936</c:v>
                </c:pt>
                <c:pt idx="4">
                  <c:v>4820</c:v>
                </c:pt>
                <c:pt idx="5">
                  <c:v>3528</c:v>
                </c:pt>
                <c:pt idx="6">
                  <c:v>3424.9</c:v>
                </c:pt>
                <c:pt idx="7">
                  <c:v>3931.8</c:v>
                </c:pt>
              </c:numCache>
            </c:numRef>
          </c:val>
        </c:ser>
        <c:ser>
          <c:idx val="3"/>
          <c:order val="3"/>
          <c:tx>
            <c:strRef>
              <c:f>label 3</c:f>
              <c:strCache>
                <c:ptCount val="1"/>
                <c:pt idx="0">
                  <c:v>Житлові будівлі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135876</c:v>
                </c:pt>
                <c:pt idx="1">
                  <c:v>136356</c:v>
                </c:pt>
                <c:pt idx="2">
                  <c:v>138887</c:v>
                </c:pt>
                <c:pt idx="3">
                  <c:v>215333</c:v>
                </c:pt>
                <c:pt idx="4">
                  <c:v>233591</c:v>
                </c:pt>
                <c:pt idx="5">
                  <c:v>228839</c:v>
                </c:pt>
                <c:pt idx="6">
                  <c:v>150141</c:v>
                </c:pt>
                <c:pt idx="7">
                  <c:v>147157.9</c:v>
                </c:pt>
              </c:numCache>
            </c:numRef>
          </c:val>
        </c:ser>
        <c:ser>
          <c:idx val="4"/>
          <c:order val="4"/>
          <c:tx>
            <c:strRef>
              <c:f>label 4</c:f>
              <c:strCache>
                <c:ptCount val="1"/>
                <c:pt idx="0">
                  <c:v>Об'єкти у сфері теплопостчання</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20183.8</c:v>
                </c:pt>
                <c:pt idx="1">
                  <c:v>19962.97</c:v>
                </c:pt>
                <c:pt idx="2">
                  <c:v>19332.24</c:v>
                </c:pt>
                <c:pt idx="3">
                  <c:v>20253.23</c:v>
                </c:pt>
                <c:pt idx="4">
                  <c:v>19519.43</c:v>
                </c:pt>
                <c:pt idx="5">
                  <c:v>16978.46</c:v>
                </c:pt>
                <c:pt idx="6">
                  <c:v>14795.7</c:v>
                </c:pt>
                <c:pt idx="7">
                  <c:v>14428.34</c:v>
                </c:pt>
              </c:numCache>
            </c:numRef>
          </c:val>
        </c:ser>
        <c:ser>
          <c:idx val="5"/>
          <c:order val="5"/>
          <c:tx>
            <c:strRef>
              <c:f>label 5</c:f>
              <c:strCache>
                <c:ptCount val="1"/>
                <c:pt idx="0">
                  <c:v>Третинний сектор</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5</c:f>
              <c:numCache>
                <c:formatCode>General</c:formatCode>
                <c:ptCount val="8"/>
                <c:pt idx="0">
                  <c:v>289693</c:v>
                </c:pt>
                <c:pt idx="1">
                  <c:v>306380</c:v>
                </c:pt>
                <c:pt idx="2">
                  <c:v>241075</c:v>
                </c:pt>
                <c:pt idx="3">
                  <c:v>318766</c:v>
                </c:pt>
                <c:pt idx="4">
                  <c:v>367085</c:v>
                </c:pt>
                <c:pt idx="5">
                  <c:v>306496</c:v>
                </c:pt>
                <c:pt idx="6">
                  <c:v>214391</c:v>
                </c:pt>
                <c:pt idx="7">
                  <c:v>237718.7</c:v>
                </c:pt>
              </c:numCache>
            </c:numRef>
          </c:val>
        </c:ser>
        <c:ser>
          <c:idx val="6"/>
          <c:order val="6"/>
          <c:tx>
            <c:strRef>
              <c:f>label 6</c:f>
              <c:strCache>
                <c:ptCount val="1"/>
                <c:pt idx="0">
                  <c:v>Громадський транспорт</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6</c:f>
              <c:numCache>
                <c:formatCode>General</c:formatCode>
                <c:ptCount val="8"/>
                <c:pt idx="0">
                  <c:v>7512.2</c:v>
                </c:pt>
                <c:pt idx="1">
                  <c:v>7499.5</c:v>
                </c:pt>
                <c:pt idx="2">
                  <c:v>7107.8</c:v>
                </c:pt>
                <c:pt idx="3">
                  <c:v>5272.81</c:v>
                </c:pt>
                <c:pt idx="4">
                  <c:v>6189.9</c:v>
                </c:pt>
                <c:pt idx="5">
                  <c:v>4680.11</c:v>
                </c:pt>
                <c:pt idx="6">
                  <c:v>4859.2</c:v>
                </c:pt>
                <c:pt idx="7">
                  <c:v>4856</c:v>
                </c:pt>
              </c:numCache>
            </c:numRef>
          </c:val>
        </c:ser>
        <c:ser>
          <c:idx val="7"/>
          <c:order val="7"/>
          <c:tx>
            <c:strRef>
              <c:f>label 7</c:f>
              <c:strCache>
                <c:ptCount val="1"/>
                <c:pt idx="0">
                  <c:v>Приватний та комерційний транспорт</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7</c:f>
              <c:numCache>
                <c:formatCode>General</c:formatCode>
                <c:ptCount val="8"/>
                <c:pt idx="0">
                  <c:v>752.97</c:v>
                </c:pt>
                <c:pt idx="1">
                  <c:v>792.6</c:v>
                </c:pt>
                <c:pt idx="2">
                  <c:v>817.12</c:v>
                </c:pt>
                <c:pt idx="3">
                  <c:v>833.79</c:v>
                </c:pt>
                <c:pt idx="4">
                  <c:v>858.81</c:v>
                </c:pt>
                <c:pt idx="5">
                  <c:v>790.1</c:v>
                </c:pt>
                <c:pt idx="6">
                  <c:v>916.52</c:v>
                </c:pt>
                <c:pt idx="7">
                  <c:v>992.21</c:v>
                </c:pt>
              </c:numCache>
            </c:numRef>
          </c:val>
        </c:ser>
        <c:gapWidth val="100"/>
        <c:overlap val="100"/>
        <c:axId val="60488832"/>
        <c:axId val="42311045"/>
      </c:barChart>
      <c:catAx>
        <c:axId val="60488832"/>
        <c:scaling>
          <c:orientation val="minMax"/>
        </c:scaling>
        <c:delete val="0"/>
        <c:axPos val="b"/>
        <c:numFmt formatCode="[$-422]dd/mm/yyyy" sourceLinked="0"/>
        <c:majorTickMark val="out"/>
        <c:minorTickMark val="none"/>
        <c:tickLblPos val="nextTo"/>
        <c:spPr>
          <a:ln w="0">
            <a:solidFill>
              <a:srgbClr val="b3b3b3"/>
            </a:solidFill>
          </a:ln>
        </c:spPr>
        <c:txPr>
          <a:bodyPr/>
          <a:lstStyle/>
          <a:p>
            <a:pPr>
              <a:defRPr b="0" sz="700" spc="-1" strike="noStrike">
                <a:solidFill>
                  <a:srgbClr val="000000"/>
                </a:solidFill>
                <a:latin typeface="Arial"/>
                <a:ea typeface="DejaVu Sans"/>
              </a:defRPr>
            </a:pPr>
          </a:p>
        </c:txPr>
        <c:crossAx val="42311045"/>
        <c:crosses val="autoZero"/>
        <c:auto val="1"/>
        <c:lblAlgn val="ctr"/>
        <c:lblOffset val="100"/>
        <c:noMultiLvlLbl val="0"/>
      </c:catAx>
      <c:valAx>
        <c:axId val="42311045"/>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60488832"/>
        <c:crossesAt val="1"/>
        <c:crossBetween val="between"/>
      </c:valAx>
      <c:spPr>
        <a:noFill/>
        <a:ln w="0">
          <a:solidFill>
            <a:srgbClr val="b3b3b3"/>
          </a:solidFill>
        </a:ln>
      </c:spPr>
    </c:plotArea>
    <c:legend>
      <c:legendPos val="b"/>
      <c:layout>
        <c:manualLayout>
          <c:xMode val="edge"/>
          <c:yMode val="edge"/>
          <c:x val="0"/>
          <c:y val="0.785666666666667"/>
          <c:w val="1"/>
          <c:h val="0.213690410045561"/>
        </c:manualLayout>
      </c:layout>
      <c:overlay val="0"/>
      <c:spPr>
        <a:noFill/>
        <a:ln w="0">
          <a:noFill/>
        </a:ln>
      </c:spPr>
      <c:txPr>
        <a:bodyPr/>
        <a:lstStyle/>
        <a:p>
          <a:pPr>
            <a:defRPr b="0" sz="700" spc="-1" strike="noStrike">
              <a:solidFill>
                <a:srgbClr val="000000"/>
              </a:solidFill>
              <a:latin typeface="Arial"/>
              <a:ea typeface="DejaVu Sans"/>
            </a:defRPr>
          </a:pPr>
        </a:p>
      </c:txPr>
    </c:legend>
    <c:plotVisOnly val="1"/>
    <c:dispBlanksAs val="gap"/>
  </c:chart>
  <c:spPr>
    <a:noFill/>
    <a:ln w="0">
      <a:noFill/>
    </a:ln>
  </c:spPr>
</c:chartSpace>
</file>

<file path=word/charts/chart12.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stacked"/>
        <c:varyColors val="0"/>
        <c:ser>
          <c:idx val="0"/>
          <c:order val="0"/>
          <c:tx>
            <c:strRef>
              <c:f>label 0</c:f>
              <c:strCache>
                <c:ptCount val="1"/>
                <c:pt idx="0">
                  <c:v>Теплова енергія, МВт.год</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23667.05</c:v>
                </c:pt>
                <c:pt idx="1">
                  <c:v>21480.61</c:v>
                </c:pt>
                <c:pt idx="2">
                  <c:v>14735.21</c:v>
                </c:pt>
                <c:pt idx="3">
                  <c:v>12979.08</c:v>
                </c:pt>
                <c:pt idx="4">
                  <c:v>15049.22</c:v>
                </c:pt>
                <c:pt idx="5">
                  <c:v>9536.6</c:v>
                </c:pt>
                <c:pt idx="6">
                  <c:v>12327.8</c:v>
                </c:pt>
                <c:pt idx="7">
                  <c:v>10898.8</c:v>
                </c:pt>
              </c:numCache>
            </c:numRef>
          </c:val>
        </c:ser>
        <c:ser>
          <c:idx val="1"/>
          <c:order val="1"/>
          <c:tx>
            <c:strRef>
              <c:f>label 1</c:f>
              <c:strCache>
                <c:ptCount val="1"/>
                <c:pt idx="0">
                  <c:v>Природний газ, МВт.год</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30278.38</c:v>
                </c:pt>
                <c:pt idx="1">
                  <c:v>27599.43</c:v>
                </c:pt>
                <c:pt idx="2">
                  <c:v>25979.59</c:v>
                </c:pt>
                <c:pt idx="3">
                  <c:v>193260.57</c:v>
                </c:pt>
                <c:pt idx="4">
                  <c:v>182752.69</c:v>
                </c:pt>
                <c:pt idx="5">
                  <c:v>124101.71</c:v>
                </c:pt>
                <c:pt idx="6">
                  <c:v>338868.86</c:v>
                </c:pt>
                <c:pt idx="7">
                  <c:v>371517.2</c:v>
                </c:pt>
              </c:numCache>
            </c:numRef>
          </c:val>
        </c:ser>
        <c:ser>
          <c:idx val="2"/>
          <c:order val="2"/>
          <c:tx>
            <c:strRef>
              <c:f>label 2</c:f>
              <c:strCache>
                <c:ptCount val="1"/>
                <c:pt idx="0">
                  <c:v>Електропостачання, МВт.год</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289693</c:v>
                </c:pt>
                <c:pt idx="1">
                  <c:v>306380</c:v>
                </c:pt>
                <c:pt idx="2">
                  <c:v>241075</c:v>
                </c:pt>
                <c:pt idx="3">
                  <c:v>318766</c:v>
                </c:pt>
                <c:pt idx="4">
                  <c:v>367085</c:v>
                </c:pt>
                <c:pt idx="5">
                  <c:v>306496</c:v>
                </c:pt>
                <c:pt idx="6">
                  <c:v>214391</c:v>
                </c:pt>
                <c:pt idx="7">
                  <c:v>237718.7</c:v>
                </c:pt>
              </c:numCache>
            </c:numRef>
          </c:val>
        </c:ser>
        <c:gapWidth val="100"/>
        <c:overlap val="100"/>
        <c:axId val="65423501"/>
        <c:axId val="39511796"/>
      </c:barChart>
      <c:catAx>
        <c:axId val="65423501"/>
        <c:scaling>
          <c:orientation val="minMax"/>
        </c:scaling>
        <c:delete val="0"/>
        <c:axPos val="b"/>
        <c:numFmt formatCode="[$-422]dd/mm/yyyy" sourceLinked="0"/>
        <c:majorTickMark val="out"/>
        <c:minorTickMark val="none"/>
        <c:tickLblPos val="nextTo"/>
        <c:spPr>
          <a:ln w="0">
            <a:solidFill>
              <a:srgbClr val="b3b3b3"/>
            </a:solidFill>
          </a:ln>
        </c:spPr>
        <c:txPr>
          <a:bodyPr rot="-2520000"/>
          <a:lstStyle/>
          <a:p>
            <a:pPr>
              <a:defRPr b="0" sz="900" spc="-1" strike="noStrike">
                <a:solidFill>
                  <a:srgbClr val="000000"/>
                </a:solidFill>
                <a:latin typeface="Arial"/>
                <a:ea typeface="DejaVu Sans"/>
              </a:defRPr>
            </a:pPr>
          </a:p>
        </c:txPr>
        <c:crossAx val="39511796"/>
        <c:crosses val="autoZero"/>
        <c:auto val="1"/>
        <c:lblAlgn val="ctr"/>
        <c:lblOffset val="100"/>
        <c:noMultiLvlLbl val="0"/>
      </c:catAx>
      <c:valAx>
        <c:axId val="39511796"/>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900" spc="-1" strike="noStrike">
                <a:solidFill>
                  <a:srgbClr val="000000"/>
                </a:solidFill>
                <a:latin typeface="Arial"/>
                <a:ea typeface="DejaVu Sans"/>
              </a:defRPr>
            </a:pPr>
          </a:p>
        </c:txPr>
        <c:crossAx val="65423501"/>
        <c:crossesAt val="1"/>
        <c:crossBetween val="between"/>
      </c:valAx>
      <c:spPr>
        <a:noFill/>
        <a:ln w="0">
          <a:solidFill>
            <a:srgbClr val="b3b3b3"/>
          </a:solidFill>
        </a:ln>
      </c:spPr>
    </c:plotArea>
    <c:legend>
      <c:legendPos val="b"/>
      <c:overlay val="0"/>
      <c:spPr>
        <a:noFill/>
        <a:ln w="0">
          <a:noFill/>
        </a:ln>
      </c:spPr>
      <c:txPr>
        <a:bodyPr/>
        <a:lstStyle/>
        <a:p>
          <a:pPr>
            <a:defRPr b="0" sz="900" spc="-1" strike="noStrike">
              <a:solidFill>
                <a:srgbClr val="000000"/>
              </a:solidFill>
              <a:latin typeface="Arial"/>
              <a:ea typeface="DejaVu Sans"/>
            </a:defRPr>
          </a:pPr>
        </a:p>
      </c:txPr>
    </c:legend>
    <c:plotVisOnly val="1"/>
    <c:dispBlanksAs val="gap"/>
  </c:chart>
  <c:spPr>
    <a:noFill/>
    <a:ln w="0">
      <a:noFill/>
    </a:ln>
  </c:spPr>
</c:chartSpace>
</file>

<file path=word/charts/chart13.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Електроенергія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7512.2</c:v>
                </c:pt>
                <c:pt idx="1">
                  <c:v>7499.5</c:v>
                </c:pt>
                <c:pt idx="2">
                  <c:v>7107.8</c:v>
                </c:pt>
                <c:pt idx="3">
                  <c:v>5272.81</c:v>
                </c:pt>
                <c:pt idx="4">
                  <c:v>6189.9</c:v>
                </c:pt>
                <c:pt idx="5">
                  <c:v>4680.113</c:v>
                </c:pt>
                <c:pt idx="6">
                  <c:v>4859.2</c:v>
                </c:pt>
                <c:pt idx="7">
                  <c:v>4856.02</c:v>
                </c:pt>
              </c:numCache>
            </c:numRef>
          </c:val>
        </c:ser>
        <c:ser>
          <c:idx val="1"/>
          <c:order val="1"/>
          <c:tx>
            <c:strRef>
              <c:f>label 1</c:f>
              <c:strCache>
                <c:ptCount val="1"/>
                <c:pt idx="0">
                  <c:v>Бензин </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51.797268</c:v>
                </c:pt>
                <c:pt idx="1">
                  <c:v>25.903308</c:v>
                </c:pt>
                <c:pt idx="2">
                  <c:v>28.156176</c:v>
                </c:pt>
                <c:pt idx="3">
                  <c:v>22.2015</c:v>
                </c:pt>
                <c:pt idx="4">
                  <c:v>23.304564</c:v>
                </c:pt>
                <c:pt idx="5">
                  <c:v>17.518152</c:v>
                </c:pt>
                <c:pt idx="6">
                  <c:v>12.423492</c:v>
                </c:pt>
                <c:pt idx="7">
                  <c:v>9.637788</c:v>
                </c:pt>
              </c:numCache>
            </c:numRef>
          </c:val>
        </c:ser>
        <c:ser>
          <c:idx val="2"/>
          <c:order val="2"/>
          <c:tx>
            <c:strRef>
              <c:f>label 2</c:f>
              <c:strCache>
                <c:ptCount val="1"/>
                <c:pt idx="0">
                  <c:v>Дизельне пальне </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27496.526988</c:v>
                </c:pt>
                <c:pt idx="1">
                  <c:v>27489.339864</c:v>
                </c:pt>
                <c:pt idx="2">
                  <c:v>27489.689724</c:v>
                </c:pt>
                <c:pt idx="3">
                  <c:v>27461.830872</c:v>
                </c:pt>
                <c:pt idx="4">
                  <c:v>27459.2619</c:v>
                </c:pt>
                <c:pt idx="5">
                  <c:v>27434.751708</c:v>
                </c:pt>
                <c:pt idx="6">
                  <c:v>27475.645344</c:v>
                </c:pt>
                <c:pt idx="7">
                  <c:v>33324.804744</c:v>
                </c:pt>
              </c:numCache>
            </c:numRef>
          </c:val>
        </c:ser>
        <c:ser>
          <c:idx val="3"/>
          <c:order val="3"/>
          <c:tx>
            <c:strRef>
              <c:f>label 3</c:f>
              <c:strCache>
                <c:ptCount val="1"/>
                <c:pt idx="0">
                  <c:v>CNG (Метан) </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28.8855</c:v>
                </c:pt>
                <c:pt idx="1">
                  <c:v>26.471956</c:v>
                </c:pt>
                <c:pt idx="2">
                  <c:v>30.214233</c:v>
                </c:pt>
                <c:pt idx="3">
                  <c:v>33.4012665</c:v>
                </c:pt>
                <c:pt idx="4">
                  <c:v>29.8323025</c:v>
                </c:pt>
                <c:pt idx="5">
                  <c:v>32.082162</c:v>
                </c:pt>
                <c:pt idx="6">
                  <c:v>30.8144095</c:v>
                </c:pt>
                <c:pt idx="7">
                  <c:v>648.9897855</c:v>
                </c:pt>
              </c:numCache>
            </c:numRef>
          </c:val>
        </c:ser>
        <c:ser>
          <c:idx val="4"/>
          <c:order val="4"/>
          <c:tx>
            <c:strRef>
              <c:f>label 4</c:f>
              <c:strCache>
                <c:ptCount val="1"/>
                <c:pt idx="0">
                  <c:v>LPG (Пропан-Бутан) </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89.145849</c:v>
                </c:pt>
                <c:pt idx="1">
                  <c:v>119.499297</c:v>
                </c:pt>
                <c:pt idx="2">
                  <c:v>124.5048312</c:v>
                </c:pt>
                <c:pt idx="3">
                  <c:v>134.5089378</c:v>
                </c:pt>
                <c:pt idx="4">
                  <c:v>588.0214752</c:v>
                </c:pt>
                <c:pt idx="5">
                  <c:v>265.8293712</c:v>
                </c:pt>
                <c:pt idx="6">
                  <c:v>516.1896228</c:v>
                </c:pt>
                <c:pt idx="7">
                  <c:v>42.8359554</c:v>
                </c:pt>
              </c:numCache>
            </c:numRef>
          </c:val>
        </c:ser>
        <c:gapWidth val="100"/>
        <c:overlap val="0"/>
        <c:axId val="80555646"/>
        <c:axId val="82732017"/>
      </c:barChart>
      <c:catAx>
        <c:axId val="80555646"/>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82732017"/>
        <c:crosses val="autoZero"/>
        <c:auto val="1"/>
        <c:lblAlgn val="ctr"/>
        <c:lblOffset val="100"/>
        <c:noMultiLvlLbl val="0"/>
      </c:catAx>
      <c:valAx>
        <c:axId val="82732017"/>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80555646"/>
        <c:crossesAt val="1"/>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4.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Бензин </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2101.776276</c:v>
                </c:pt>
                <c:pt idx="1">
                  <c:v>1395.31108488</c:v>
                </c:pt>
                <c:pt idx="2">
                  <c:v>1830.78018648</c:v>
                </c:pt>
                <c:pt idx="3">
                  <c:v>1859.4592896</c:v>
                </c:pt>
                <c:pt idx="4">
                  <c:v>1718.01554292</c:v>
                </c:pt>
                <c:pt idx="5">
                  <c:v>1979.29232988</c:v>
                </c:pt>
                <c:pt idx="6">
                  <c:v>1996.23380376</c:v>
                </c:pt>
                <c:pt idx="7">
                  <c:v>1956.00253572</c:v>
                </c:pt>
              </c:numCache>
            </c:numRef>
          </c:val>
        </c:ser>
        <c:ser>
          <c:idx val="1"/>
          <c:order val="1"/>
          <c:tx>
            <c:strRef>
              <c:f>label 1</c:f>
              <c:strCache>
                <c:ptCount val="1"/>
                <c:pt idx="0">
                  <c:v>Дизельне пальне </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1699.73643336</c:v>
                </c:pt>
                <c:pt idx="1">
                  <c:v>2090.05084512</c:v>
                </c:pt>
                <c:pt idx="2">
                  <c:v>1375.36043568</c:v>
                </c:pt>
                <c:pt idx="3">
                  <c:v>1540.68937764</c:v>
                </c:pt>
                <c:pt idx="4">
                  <c:v>1726.96173888</c:v>
                </c:pt>
                <c:pt idx="5">
                  <c:v>1647.848097</c:v>
                </c:pt>
                <c:pt idx="6">
                  <c:v>2263.98144504</c:v>
                </c:pt>
                <c:pt idx="7">
                  <c:v>2439.93543528</c:v>
                </c:pt>
              </c:numCache>
            </c:numRef>
          </c:val>
        </c:ser>
        <c:ser>
          <c:idx val="2"/>
          <c:order val="2"/>
          <c:tx>
            <c:strRef>
              <c:f>label 2</c:f>
              <c:strCache>
                <c:ptCount val="1"/>
                <c:pt idx="0">
                  <c:v>CNG (Метан) </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309.4118475</c:v>
                </c:pt>
                <c:pt idx="1">
                  <c:v>220.43083503</c:v>
                </c:pt>
                <c:pt idx="2">
                  <c:v>242.06421302</c:v>
                </c:pt>
                <c:pt idx="3">
                  <c:v>248.385740505</c:v>
                </c:pt>
                <c:pt idx="4">
                  <c:v>224.083406505</c:v>
                </c:pt>
                <c:pt idx="5">
                  <c:v>107.17874909</c:v>
                </c:pt>
                <c:pt idx="6">
                  <c:v>85.66957875</c:v>
                </c:pt>
                <c:pt idx="7">
                  <c:v>111.3831299</c:v>
                </c:pt>
              </c:numCache>
            </c:numRef>
          </c:val>
        </c:ser>
        <c:ser>
          <c:idx val="3"/>
          <c:order val="3"/>
          <c:tx>
            <c:strRef>
              <c:f>label 3</c:f>
              <c:strCache>
                <c:ptCount val="1"/>
                <c:pt idx="0">
                  <c:v>LPG (Пропан-Бутан) </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720.834796992</c:v>
                </c:pt>
                <c:pt idx="1">
                  <c:v>639.607925874</c:v>
                </c:pt>
                <c:pt idx="2">
                  <c:v>582.903716784</c:v>
                </c:pt>
                <c:pt idx="3">
                  <c:v>578.945794248</c:v>
                </c:pt>
                <c:pt idx="4">
                  <c:v>466.628359746</c:v>
                </c:pt>
                <c:pt idx="5">
                  <c:v>116.06225634</c:v>
                </c:pt>
                <c:pt idx="6">
                  <c:v>134.194403676</c:v>
                </c:pt>
                <c:pt idx="7">
                  <c:v>851.398273878</c:v>
                </c:pt>
              </c:numCache>
            </c:numRef>
          </c:val>
        </c:ser>
        <c:gapWidth val="100"/>
        <c:overlap val="0"/>
        <c:axId val="53502943"/>
        <c:axId val="19870064"/>
      </c:barChart>
      <c:catAx>
        <c:axId val="53502943"/>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9870064"/>
        <c:crosses val="autoZero"/>
        <c:auto val="1"/>
        <c:lblAlgn val="ctr"/>
        <c:lblOffset val="100"/>
        <c:noMultiLvlLbl val="0"/>
      </c:catAx>
      <c:valAx>
        <c:axId val="19870064"/>
        <c:scaling>
          <c:orientation val="minMax"/>
          <c:max val="2500"/>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53502943"/>
        <c:crossesAt val="1"/>
        <c:crossBetween val="between"/>
      </c:valAx>
      <c:spPr>
        <a:noFill/>
        <a:ln w="0">
          <a:solidFill>
            <a:srgbClr val="b3b3b3"/>
          </a:solidFill>
        </a:ln>
      </c:spPr>
    </c:plotArea>
    <c:legend>
      <c:legendPos val="b"/>
      <c:layout>
        <c:manualLayout>
          <c:xMode val="edge"/>
          <c:yMode val="edge"/>
          <c:x val="0.0247459125055236"/>
          <c:y val="0.869836321122369"/>
          <c:w val="0.959430793706912"/>
          <c:h val="0.129872154661678"/>
        </c:manualLayout>
      </c:layout>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5.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Електроенергія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753</c:v>
                </c:pt>
                <c:pt idx="1">
                  <c:v>792.6</c:v>
                </c:pt>
                <c:pt idx="2">
                  <c:v>817.1</c:v>
                </c:pt>
                <c:pt idx="3">
                  <c:v>833.8</c:v>
                </c:pt>
                <c:pt idx="4">
                  <c:v>858.8</c:v>
                </c:pt>
                <c:pt idx="5">
                  <c:v>790.1</c:v>
                </c:pt>
                <c:pt idx="6">
                  <c:v>916.5</c:v>
                </c:pt>
                <c:pt idx="7">
                  <c:v>992.2</c:v>
                </c:pt>
              </c:numCache>
            </c:numRef>
          </c:val>
        </c:ser>
        <c:ser>
          <c:idx val="1"/>
          <c:order val="1"/>
          <c:tx>
            <c:strRef>
              <c:f>label 1</c:f>
              <c:strCache>
                <c:ptCount val="1"/>
                <c:pt idx="0">
                  <c:v>Бензин </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79810.2</c:v>
                </c:pt>
                <c:pt idx="1">
                  <c:v>84010.8</c:v>
                </c:pt>
                <c:pt idx="2">
                  <c:v>86609</c:v>
                </c:pt>
                <c:pt idx="3">
                  <c:v>88376.6</c:v>
                </c:pt>
                <c:pt idx="4">
                  <c:v>91027.9</c:v>
                </c:pt>
                <c:pt idx="5">
                  <c:v>83745.6</c:v>
                </c:pt>
                <c:pt idx="6">
                  <c:v>97145</c:v>
                </c:pt>
                <c:pt idx="7">
                  <c:v>104284.4</c:v>
                </c:pt>
              </c:numCache>
            </c:numRef>
          </c:val>
        </c:ser>
        <c:ser>
          <c:idx val="2"/>
          <c:order val="2"/>
          <c:tx>
            <c:strRef>
              <c:f>label 2</c:f>
              <c:strCache>
                <c:ptCount val="1"/>
                <c:pt idx="0">
                  <c:v>Дизельне пальне </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93294.9</c:v>
                </c:pt>
                <c:pt idx="1">
                  <c:v>98205.1</c:v>
                </c:pt>
                <c:pt idx="2">
                  <c:v>101242.4</c:v>
                </c:pt>
                <c:pt idx="3">
                  <c:v>103308.6</c:v>
                </c:pt>
                <c:pt idx="4">
                  <c:v>106407.8</c:v>
                </c:pt>
                <c:pt idx="5">
                  <c:v>97895.2</c:v>
                </c:pt>
                <c:pt idx="6">
                  <c:v>113558.5</c:v>
                </c:pt>
                <c:pt idx="7">
                  <c:v>121904.1</c:v>
                </c:pt>
              </c:numCache>
            </c:numRef>
          </c:val>
        </c:ser>
        <c:ser>
          <c:idx val="3"/>
          <c:order val="3"/>
          <c:tx>
            <c:strRef>
              <c:f>label 3</c:f>
              <c:strCache>
                <c:ptCount val="1"/>
                <c:pt idx="0">
                  <c:v>CNG (Метан) </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3943.7</c:v>
                </c:pt>
                <c:pt idx="1">
                  <c:v>4151.3</c:v>
                </c:pt>
                <c:pt idx="2">
                  <c:v>4279.6</c:v>
                </c:pt>
                <c:pt idx="3">
                  <c:v>4367</c:v>
                </c:pt>
                <c:pt idx="4">
                  <c:v>4498</c:v>
                </c:pt>
                <c:pt idx="5">
                  <c:v>4138.2</c:v>
                </c:pt>
                <c:pt idx="6">
                  <c:v>4800.3</c:v>
                </c:pt>
                <c:pt idx="7">
                  <c:v>5153</c:v>
                </c:pt>
              </c:numCache>
            </c:numRef>
          </c:val>
        </c:ser>
        <c:ser>
          <c:idx val="4"/>
          <c:order val="4"/>
          <c:tx>
            <c:strRef>
              <c:f>label 4</c:f>
              <c:strCache>
                <c:ptCount val="1"/>
                <c:pt idx="0">
                  <c:v>LPG (Пропан-Бутан) </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108.2</c:v>
                </c:pt>
                <c:pt idx="1">
                  <c:v>113.9</c:v>
                </c:pt>
                <c:pt idx="2">
                  <c:v>117.4</c:v>
                </c:pt>
                <c:pt idx="3">
                  <c:v>119.8</c:v>
                </c:pt>
                <c:pt idx="4">
                  <c:v>123.4</c:v>
                </c:pt>
                <c:pt idx="5">
                  <c:v>113.5</c:v>
                </c:pt>
                <c:pt idx="6">
                  <c:v>131.7</c:v>
                </c:pt>
                <c:pt idx="7">
                  <c:v>141.4</c:v>
                </c:pt>
              </c:numCache>
            </c:numRef>
          </c:val>
        </c:ser>
        <c:gapWidth val="100"/>
        <c:overlap val="0"/>
        <c:axId val="10963099"/>
        <c:axId val="3204838"/>
      </c:barChart>
      <c:catAx>
        <c:axId val="10963099"/>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204838"/>
        <c:crosses val="autoZero"/>
        <c:auto val="1"/>
        <c:lblAlgn val="ctr"/>
        <c:lblOffset val="100"/>
        <c:noMultiLvlLbl val="0"/>
      </c:catAx>
      <c:valAx>
        <c:axId val="3204838"/>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0963099"/>
        <c:crosses val="autoZero"/>
        <c:crossBetween val="between"/>
      </c:valAx>
      <c:spPr>
        <a:noFill/>
        <a:ln w="0">
          <a:solidFill>
            <a:srgbClr val="b3b3b3"/>
          </a:solidFill>
        </a:ln>
      </c:spPr>
    </c:plotArea>
    <c:legend>
      <c:legendPos val="b"/>
      <c:layout>
        <c:manualLayout>
          <c:xMode val="edge"/>
          <c:yMode val="edge"/>
          <c:x val="0"/>
          <c:y val="0.853441295546559"/>
          <c:w val="0.975960662902932"/>
          <c:h val="0.146258503401361"/>
        </c:manualLayout>
      </c:layout>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6.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200" spc="-1" strike="noStrike">
                <a:solidFill>
                  <a:srgbClr val="000000"/>
                </a:solidFill>
                <a:latin typeface="Arial"/>
                <a:ea typeface="DejaVu Sans"/>
              </a:defRPr>
            </a:pPr>
            <a:r>
              <a:rPr b="0" lang="uk-UA" sz="1200" spc="-1" strike="noStrike">
                <a:solidFill>
                  <a:srgbClr val="000000"/>
                </a:solidFill>
                <a:latin typeface="Arial"/>
                <a:ea typeface="DejaVu Sans"/>
              </a:rPr>
              <a:t>Зведений енергетичний баланс за період 2017-2024 роки за категоріями кінцевих споживачів</a:t>
            </a:r>
          </a:p>
        </c:rich>
      </c:tx>
      <c:overlay val="0"/>
      <c:spPr>
        <a:noFill/>
        <a:ln w="0">
          <a:noFill/>
        </a:ln>
      </c:spPr>
    </c:title>
    <c:autoTitleDeleted val="0"/>
    <c:plotArea>
      <c:layout>
        <c:manualLayout>
          <c:layoutTarget val="inner"/>
          <c:xMode val="edge"/>
          <c:yMode val="edge"/>
          <c:x val="0.1461875"/>
          <c:y val="0.185"/>
          <c:w val="0.8335"/>
          <c:h val="0.374888888888889"/>
        </c:manualLayout>
      </c:layout>
      <c:barChart>
        <c:barDir val="col"/>
        <c:grouping val="stacked"/>
        <c:varyColors val="0"/>
        <c:ser>
          <c:idx val="0"/>
          <c:order val="0"/>
          <c:tx>
            <c:strRef>
              <c:f>label 0</c:f>
              <c:strCache>
                <c:ptCount val="1"/>
                <c:pt idx="0">
                  <c:v>Громадські будівлі</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126107.5931</c:v>
                </c:pt>
                <c:pt idx="1">
                  <c:v>124933.9188</c:v>
                </c:pt>
                <c:pt idx="2">
                  <c:v>112049.663</c:v>
                </c:pt>
                <c:pt idx="3">
                  <c:v>109274.2462</c:v>
                </c:pt>
                <c:pt idx="4">
                  <c:v>110282.6511</c:v>
                </c:pt>
                <c:pt idx="5">
                  <c:v>103076.741</c:v>
                </c:pt>
                <c:pt idx="6">
                  <c:v>102890.29668</c:v>
                </c:pt>
                <c:pt idx="7">
                  <c:v>100115.19502</c:v>
                </c:pt>
              </c:numCache>
            </c:numRef>
          </c:val>
        </c:ser>
        <c:ser>
          <c:idx val="1"/>
          <c:order val="1"/>
          <c:tx>
            <c:strRef>
              <c:f>label 1</c:f>
              <c:strCache>
                <c:ptCount val="1"/>
                <c:pt idx="0">
                  <c:v>Об'єкти водопостачання та 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18000</c:v>
                </c:pt>
                <c:pt idx="1">
                  <c:v>18200</c:v>
                </c:pt>
                <c:pt idx="2">
                  <c:v>17700</c:v>
                </c:pt>
                <c:pt idx="3">
                  <c:v>18100</c:v>
                </c:pt>
                <c:pt idx="4">
                  <c:v>18300</c:v>
                </c:pt>
                <c:pt idx="5">
                  <c:v>16200</c:v>
                </c:pt>
                <c:pt idx="6">
                  <c:v>17938</c:v>
                </c:pt>
                <c:pt idx="7">
                  <c:v>16757</c:v>
                </c:pt>
              </c:numCache>
            </c:numRef>
          </c:val>
        </c:ser>
        <c:ser>
          <c:idx val="2"/>
          <c:order val="2"/>
          <c:tx>
            <c:strRef>
              <c:f>label 2</c:f>
              <c:strCache>
                <c:ptCount val="1"/>
                <c:pt idx="0">
                  <c:v>Об’єкти зовнішнього освітлення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3508</c:v>
                </c:pt>
                <c:pt idx="1">
                  <c:v>3465</c:v>
                </c:pt>
                <c:pt idx="2">
                  <c:v>3619</c:v>
                </c:pt>
                <c:pt idx="3">
                  <c:v>3936</c:v>
                </c:pt>
                <c:pt idx="4">
                  <c:v>4820</c:v>
                </c:pt>
                <c:pt idx="5">
                  <c:v>3528</c:v>
                </c:pt>
                <c:pt idx="6">
                  <c:v>3424.9</c:v>
                </c:pt>
                <c:pt idx="7">
                  <c:v>3931.8</c:v>
                </c:pt>
              </c:numCache>
            </c:numRef>
          </c:val>
        </c:ser>
        <c:ser>
          <c:idx val="3"/>
          <c:order val="3"/>
          <c:tx>
            <c:strRef>
              <c:f>label 3</c:f>
              <c:strCache>
                <c:ptCount val="1"/>
                <c:pt idx="0">
                  <c:v>Житлові будівлі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1398088.91478501</c:v>
                </c:pt>
                <c:pt idx="1">
                  <c:v>1365241.7887196</c:v>
                </c:pt>
                <c:pt idx="2">
                  <c:v>1148233.36938</c:v>
                </c:pt>
                <c:pt idx="3">
                  <c:v>1292965.1379</c:v>
                </c:pt>
                <c:pt idx="4">
                  <c:v>1347398.9589</c:v>
                </c:pt>
                <c:pt idx="5">
                  <c:v>1269668.9918</c:v>
                </c:pt>
                <c:pt idx="6">
                  <c:v>1197824.608902</c:v>
                </c:pt>
                <c:pt idx="7">
                  <c:v>1179475.67901</c:v>
                </c:pt>
              </c:numCache>
            </c:numRef>
          </c:val>
        </c:ser>
        <c:ser>
          <c:idx val="4"/>
          <c:order val="4"/>
          <c:tx>
            <c:strRef>
              <c:f>label 4</c:f>
              <c:strCache>
                <c:ptCount val="1"/>
                <c:pt idx="0">
                  <c:v>Об'єкти у сфері теплопостачання (в частині споживання електричної енергії для потреб транспортування і розподілу теплової енергії)</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20183.87</c:v>
                </c:pt>
                <c:pt idx="1">
                  <c:v>19962.97</c:v>
                </c:pt>
                <c:pt idx="2">
                  <c:v>19332.24</c:v>
                </c:pt>
                <c:pt idx="3">
                  <c:v>0</c:v>
                </c:pt>
                <c:pt idx="4">
                  <c:v>19519.43</c:v>
                </c:pt>
                <c:pt idx="5">
                  <c:v>16978.46</c:v>
                </c:pt>
                <c:pt idx="6">
                  <c:v>14795.7</c:v>
                </c:pt>
                <c:pt idx="7">
                  <c:v>14428.34</c:v>
                </c:pt>
              </c:numCache>
            </c:numRef>
          </c:val>
        </c:ser>
        <c:ser>
          <c:idx val="5"/>
          <c:order val="5"/>
          <c:tx>
            <c:strRef>
              <c:f>label 5</c:f>
              <c:strCache>
                <c:ptCount val="1"/>
                <c:pt idx="0">
                  <c:v>Об'єкти з управління побутовими відходами</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5</c:f>
              <c:numCache>
                <c:formatCode>General</c:formatCode>
                <c:ptCount val="8"/>
                <c:pt idx="0">
                  <c:v>3697.9175958</c:v>
                </c:pt>
                <c:pt idx="1">
                  <c:v>4141.7441376</c:v>
                </c:pt>
                <c:pt idx="2">
                  <c:v>4630.5611004</c:v>
                </c:pt>
                <c:pt idx="3">
                  <c:v>4822.7831238</c:v>
                </c:pt>
                <c:pt idx="4">
                  <c:v>4463.1156708</c:v>
                </c:pt>
                <c:pt idx="5">
                  <c:v>4216.2130992</c:v>
                </c:pt>
                <c:pt idx="6">
                  <c:v>4987.3555308</c:v>
                </c:pt>
                <c:pt idx="7">
                  <c:v>7065.9440406</c:v>
                </c:pt>
              </c:numCache>
            </c:numRef>
          </c:val>
        </c:ser>
        <c:ser>
          <c:idx val="6"/>
          <c:order val="6"/>
          <c:tx>
            <c:strRef>
              <c:f>label 6</c:f>
              <c:strCache>
                <c:ptCount val="1"/>
                <c:pt idx="0">
                  <c:v>Третинний сектор</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6</c:f>
              <c:numCache>
                <c:formatCode>General</c:formatCode>
                <c:ptCount val="8"/>
                <c:pt idx="0">
                  <c:v>343638.43365</c:v>
                </c:pt>
                <c:pt idx="1">
                  <c:v>355460.03721375</c:v>
                </c:pt>
                <c:pt idx="2">
                  <c:v>281789.7995355</c:v>
                </c:pt>
                <c:pt idx="3">
                  <c:v>525005.6467</c:v>
                </c:pt>
                <c:pt idx="4">
                  <c:v>564886.9072</c:v>
                </c:pt>
                <c:pt idx="5">
                  <c:v>440134.3143</c:v>
                </c:pt>
                <c:pt idx="6">
                  <c:v>565587.6553</c:v>
                </c:pt>
                <c:pt idx="7">
                  <c:v>620134.71501</c:v>
                </c:pt>
              </c:numCache>
            </c:numRef>
          </c:val>
        </c:ser>
        <c:ser>
          <c:idx val="7"/>
          <c:order val="7"/>
          <c:tx>
            <c:strRef>
              <c:f>label 7</c:f>
              <c:strCache>
                <c:ptCount val="1"/>
                <c:pt idx="0">
                  <c:v>Громадський транспорт та відповідна інфраструктура</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7</c:f>
              <c:numCache>
                <c:formatCode>General</c:formatCode>
                <c:ptCount val="8"/>
                <c:pt idx="0">
                  <c:v>35126.758337</c:v>
                </c:pt>
                <c:pt idx="1">
                  <c:v>35134.811117</c:v>
                </c:pt>
                <c:pt idx="2">
                  <c:v>34752.2087882</c:v>
                </c:pt>
                <c:pt idx="3">
                  <c:v>32902.5500763</c:v>
                </c:pt>
                <c:pt idx="4">
                  <c:v>34267.0156777</c:v>
                </c:pt>
                <c:pt idx="5">
                  <c:v>32412.7762412</c:v>
                </c:pt>
                <c:pt idx="6">
                  <c:v>32881.8493763</c:v>
                </c:pt>
                <c:pt idx="7">
                  <c:v>38872.6504849</c:v>
                </c:pt>
              </c:numCache>
            </c:numRef>
          </c:val>
        </c:ser>
        <c:ser>
          <c:idx val="8"/>
          <c:order val="8"/>
          <c:tx>
            <c:strRef>
              <c:f>label 8</c:f>
              <c:strCache>
                <c:ptCount val="1"/>
                <c:pt idx="0">
                  <c:v>Іншій транспорт</c:v>
                </c:pt>
              </c:strCache>
            </c:strRef>
          </c:tx>
          <c:spPr>
            <a:solidFill>
              <a:srgbClr val="4b1f6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8</c:f>
              <c:numCache>
                <c:formatCode>General</c:formatCode>
                <c:ptCount val="8"/>
                <c:pt idx="0">
                  <c:v>182741.734386789</c:v>
                </c:pt>
                <c:pt idx="1">
                  <c:v>191619.058620312</c:v>
                </c:pt>
                <c:pt idx="2">
                  <c:v>197096.735283312</c:v>
                </c:pt>
                <c:pt idx="3">
                  <c:v>201233.221764593</c:v>
                </c:pt>
                <c:pt idx="4">
                  <c:v>207051.602857529</c:v>
                </c:pt>
                <c:pt idx="5">
                  <c:v>190533.02213703</c:v>
                </c:pt>
                <c:pt idx="6">
                  <c:v>221031.942448701</c:v>
                </c:pt>
                <c:pt idx="7">
                  <c:v>237833.832338646</c:v>
                </c:pt>
              </c:numCache>
            </c:numRef>
          </c:val>
        </c:ser>
        <c:gapWidth val="100"/>
        <c:overlap val="100"/>
        <c:axId val="47413609"/>
        <c:axId val="91821430"/>
      </c:barChart>
      <c:catAx>
        <c:axId val="47413609"/>
        <c:scaling>
          <c:orientation val="minMax"/>
        </c:scaling>
        <c:delete val="0"/>
        <c:axPos val="b"/>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91821430"/>
        <c:crosses val="autoZero"/>
        <c:auto val="1"/>
        <c:lblAlgn val="ctr"/>
        <c:lblOffset val="100"/>
        <c:noMultiLvlLbl val="0"/>
      </c:catAx>
      <c:valAx>
        <c:axId val="91821430"/>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47413609"/>
        <c:crossesAt val="1"/>
        <c:crossBetween val="between"/>
      </c:valAx>
      <c:spPr>
        <a:noFill/>
        <a:ln w="0">
          <a:solidFill>
            <a:srgbClr val="b3b3b3"/>
          </a:solidFill>
        </a:ln>
      </c:spPr>
    </c:plotArea>
    <c:legend>
      <c:legendPos val="b"/>
      <c:layout>
        <c:manualLayout>
          <c:xMode val="edge"/>
          <c:yMode val="edge"/>
          <c:x val="0.0204375"/>
          <c:y val="0.645888888888889"/>
          <c:w val="0.979498718669917"/>
          <c:h val="0.270696744082676"/>
        </c:manualLayout>
      </c:layout>
      <c:overlay val="0"/>
      <c:spPr>
        <a:noFill/>
        <a:ln w="0">
          <a:noFill/>
        </a:ln>
      </c:spPr>
      <c:txPr>
        <a:bodyPr/>
        <a:lstStyle/>
        <a:p>
          <a:pPr>
            <a:defRPr b="0" sz="7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7.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200" spc="-1" strike="noStrike">
                <a:solidFill>
                  <a:srgbClr val="000000"/>
                </a:solidFill>
                <a:latin typeface="Arial"/>
                <a:ea typeface="DejaVu Sans"/>
              </a:defRPr>
            </a:pPr>
            <a:r>
              <a:rPr b="0" lang="uk-UA" sz="1200" spc="-1" strike="noStrike">
                <a:solidFill>
                  <a:srgbClr val="000000"/>
                </a:solidFill>
                <a:latin typeface="Arial"/>
                <a:ea typeface="DejaVu Sans"/>
              </a:rPr>
              <a:t>Зведений енергетичний баланс за період 2017-2024 роки за видами енрегії</a:t>
            </a:r>
          </a:p>
        </c:rich>
      </c:tx>
      <c:overlay val="0"/>
      <c:spPr>
        <a:noFill/>
        <a:ln w="0">
          <a:noFill/>
        </a:ln>
      </c:spPr>
    </c:title>
    <c:autoTitleDeleted val="0"/>
    <c:plotArea>
      <c:barChart>
        <c:barDir val="col"/>
        <c:grouping val="stacked"/>
        <c:varyColors val="0"/>
        <c:ser>
          <c:idx val="0"/>
          <c:order val="0"/>
          <c:tx>
            <c:strRef>
              <c:f>label 0</c:f>
              <c:strCache>
                <c:ptCount val="1"/>
                <c:pt idx="0">
                  <c:v>Тепло</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520035.45</c:v>
                </c:pt>
                <c:pt idx="1">
                  <c:v>538085.21</c:v>
                </c:pt>
                <c:pt idx="2">
                  <c:v>413993.11</c:v>
                </c:pt>
                <c:pt idx="3">
                  <c:v>430496.08</c:v>
                </c:pt>
                <c:pt idx="4">
                  <c:v>435473.72</c:v>
                </c:pt>
                <c:pt idx="5">
                  <c:v>359134.4</c:v>
                </c:pt>
                <c:pt idx="6">
                  <c:v>357273.6</c:v>
                </c:pt>
                <c:pt idx="7">
                  <c:v>363695.9186</c:v>
                </c:pt>
              </c:numCache>
            </c:numRef>
          </c:val>
        </c:ser>
        <c:ser>
          <c:idx val="1"/>
          <c:order val="1"/>
          <c:tx>
            <c:strRef>
              <c:f>label 1</c:f>
              <c:strCache>
                <c:ptCount val="1"/>
                <c:pt idx="0">
                  <c:v>Природний газ</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822261.59505</c:v>
                </c:pt>
                <c:pt idx="1">
                  <c:v>757983.95691375</c:v>
                </c:pt>
                <c:pt idx="2">
                  <c:v>640365.6932355</c:v>
                </c:pt>
                <c:pt idx="3">
                  <c:v>855448.906800001</c:v>
                </c:pt>
                <c:pt idx="4">
                  <c:v>872247.429</c:v>
                </c:pt>
                <c:pt idx="5">
                  <c:v>805333.35</c:v>
                </c:pt>
                <c:pt idx="6">
                  <c:v>1032389.8413</c:v>
                </c:pt>
                <c:pt idx="7">
                  <c:v>1041963.5097</c:v>
                </c:pt>
              </c:numCache>
            </c:numRef>
          </c:val>
        </c:ser>
        <c:ser>
          <c:idx val="2"/>
          <c:order val="2"/>
          <c:tx>
            <c:strRef>
              <c:f>label 2</c:f>
              <c:strCache>
                <c:ptCount val="1"/>
                <c:pt idx="0">
                  <c:v>Електроенергія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501300.24254144</c:v>
                </c:pt>
                <c:pt idx="1">
                  <c:v>522997.2726752</c:v>
                </c:pt>
                <c:pt idx="2">
                  <c:v>457435.15616</c:v>
                </c:pt>
                <c:pt idx="3">
                  <c:v>608402.011</c:v>
                </c:pt>
                <c:pt idx="4">
                  <c:v>682494.33576</c:v>
                </c:pt>
                <c:pt idx="5">
                  <c:v>608231.8742992</c:v>
                </c:pt>
                <c:pt idx="6">
                  <c:v>435032.117507072</c:v>
                </c:pt>
                <c:pt idx="7">
                  <c:v>449714.37248</c:v>
                </c:pt>
              </c:numCache>
            </c:numRef>
          </c:val>
        </c:ser>
        <c:ser>
          <c:idx val="3"/>
          <c:order val="3"/>
          <c:tx>
            <c:strRef>
              <c:f>label 3</c:f>
              <c:strCache>
                <c:ptCount val="1"/>
                <c:pt idx="0">
                  <c:v>Деревина</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74194.696485012</c:v>
                </c:pt>
                <c:pt idx="1">
                  <c:v>76489.3778196</c:v>
                </c:pt>
                <c:pt idx="2">
                  <c:v>78855.02868</c:v>
                </c:pt>
                <c:pt idx="3">
                  <c:v>81293.844</c:v>
                </c:pt>
                <c:pt idx="4">
                  <c:v>82041.1682</c:v>
                </c:pt>
                <c:pt idx="5">
                  <c:v>82357.0971</c:v>
                </c:pt>
                <c:pt idx="6">
                  <c:v>83541.319582</c:v>
                </c:pt>
                <c:pt idx="7">
                  <c:v>85317.16074</c:v>
                </c:pt>
              </c:numCache>
            </c:numRef>
          </c:val>
        </c:ser>
        <c:ser>
          <c:idx val="4"/>
          <c:order val="4"/>
          <c:tx>
            <c:strRef>
              <c:f>label 4</c:f>
              <c:strCache>
                <c:ptCount val="1"/>
                <c:pt idx="0">
                  <c:v>Бензин</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82196.3720230367</c:v>
                </c:pt>
                <c:pt idx="1">
                  <c:v>85724.3135272344</c:v>
                </c:pt>
                <c:pt idx="2">
                  <c:v>88745.28474</c:v>
                </c:pt>
                <c:pt idx="3">
                  <c:v>90462.8413896</c:v>
                </c:pt>
                <c:pt idx="4">
                  <c:v>92829.62393064</c:v>
                </c:pt>
                <c:pt idx="5">
                  <c:v>85795.6860774624</c:v>
                </c:pt>
                <c:pt idx="6">
                  <c:v>99205.8737407157</c:v>
                </c:pt>
                <c:pt idx="7">
                  <c:v>106608.38009004</c:v>
                </c:pt>
              </c:numCache>
            </c:numRef>
          </c:val>
        </c:ser>
        <c:ser>
          <c:idx val="5"/>
          <c:order val="5"/>
          <c:tx>
            <c:strRef>
              <c:f>label 5</c:f>
              <c:strCache>
                <c:ptCount val="1"/>
                <c:pt idx="0">
                  <c:v>Дизельне пальне</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5</c:f>
              <c:numCache>
                <c:formatCode>General</c:formatCode>
                <c:ptCount val="8"/>
                <c:pt idx="0">
                  <c:v>125851.587105946</c:v>
                </c:pt>
                <c:pt idx="1">
                  <c:v>131585.555373737</c:v>
                </c:pt>
                <c:pt idx="2">
                  <c:v>134387.47569912</c:v>
                </c:pt>
                <c:pt idx="3">
                  <c:v>136886.26948164</c:v>
                </c:pt>
                <c:pt idx="4">
                  <c:v>139943.20101972</c:v>
                </c:pt>
                <c:pt idx="5">
                  <c:v>131093.462799533</c:v>
                </c:pt>
                <c:pt idx="6">
                  <c:v>148160.836005258</c:v>
                </c:pt>
                <c:pt idx="7">
                  <c:v>164220.00491232</c:v>
                </c:pt>
              </c:numCache>
            </c:numRef>
          </c:val>
        </c:ser>
        <c:ser>
          <c:idx val="6"/>
          <c:order val="6"/>
          <c:tx>
            <c:strRef>
              <c:f>label 6</c:f>
              <c:strCache>
                <c:ptCount val="1"/>
                <c:pt idx="0">
                  <c:v>LPG (Пропан-Бутан)</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6</c:f>
              <c:numCache>
                <c:formatCode>General</c:formatCode>
                <c:ptCount val="8"/>
                <c:pt idx="0">
                  <c:v>971.286425628283</c:v>
                </c:pt>
                <c:pt idx="1">
                  <c:v>895.48174345956</c:v>
                </c:pt>
                <c:pt idx="2">
                  <c:v>869.902947132</c:v>
                </c:pt>
                <c:pt idx="3">
                  <c:v>854.069168448</c:v>
                </c:pt>
                <c:pt idx="4">
                  <c:v>1208.291261124</c:v>
                </c:pt>
                <c:pt idx="5">
                  <c:v>525.23058664776</c:v>
                </c:pt>
                <c:pt idx="6">
                  <c:v>841.974222449002</c:v>
                </c:pt>
                <c:pt idx="7">
                  <c:v>1182.391903146</c:v>
                </c:pt>
              </c:numCache>
            </c:numRef>
          </c:val>
        </c:ser>
        <c:ser>
          <c:idx val="7"/>
          <c:order val="7"/>
          <c:tx>
            <c:strRef>
              <c:f>label 7</c:f>
              <c:strCache>
                <c:ptCount val="1"/>
                <c:pt idx="0">
                  <c:v>CNG (Метан)</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7</c:f>
              <c:numCache>
                <c:formatCode>General</c:formatCode>
                <c:ptCount val="8"/>
                <c:pt idx="0">
                  <c:v>4281.99222353826</c:v>
                </c:pt>
                <c:pt idx="1">
                  <c:v>4398.1605552808</c:v>
                </c:pt>
                <c:pt idx="2">
                  <c:v>4551.92562566</c:v>
                </c:pt>
                <c:pt idx="3">
                  <c:v>4648.773925005</c:v>
                </c:pt>
                <c:pt idx="4">
                  <c:v>4751.912234545</c:v>
                </c:pt>
                <c:pt idx="5">
                  <c:v>4277.4177145868</c:v>
                </c:pt>
                <c:pt idx="6">
                  <c:v>4916.74588030629</c:v>
                </c:pt>
                <c:pt idx="7">
                  <c:v>5913.41747864</c:v>
                </c:pt>
              </c:numCache>
            </c:numRef>
          </c:val>
        </c:ser>
        <c:gapWidth val="100"/>
        <c:overlap val="100"/>
        <c:axId val="1554011"/>
        <c:axId val="309123"/>
      </c:barChart>
      <c:catAx>
        <c:axId val="1554011"/>
        <c:scaling>
          <c:orientation val="minMax"/>
        </c:scaling>
        <c:delete val="0"/>
        <c:axPos val="b"/>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09123"/>
        <c:crosses val="autoZero"/>
        <c:auto val="1"/>
        <c:lblAlgn val="ctr"/>
        <c:lblOffset val="100"/>
        <c:noMultiLvlLbl val="0"/>
      </c:catAx>
      <c:valAx>
        <c:axId val="309123"/>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554011"/>
        <c:crossesAt val="1"/>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8.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200" spc="-1" strike="noStrike">
                <a:solidFill>
                  <a:srgbClr val="000000"/>
                </a:solidFill>
                <a:latin typeface="Arial"/>
                <a:ea typeface="DejaVu Sans"/>
              </a:defRPr>
            </a:pPr>
            <a:r>
              <a:rPr b="0" lang="uk-UA" sz="1200" spc="-1" strike="noStrike">
                <a:solidFill>
                  <a:srgbClr val="000000"/>
                </a:solidFill>
                <a:latin typeface="Arial"/>
                <a:ea typeface="DejaVu Sans"/>
              </a:rPr>
              <a:t>Зведений вартісний баланс за період 2017-2024 роки за категоріями кінцевих споживачів</a:t>
            </a:r>
          </a:p>
        </c:rich>
      </c:tx>
      <c:layout>
        <c:manualLayout>
          <c:xMode val="edge"/>
          <c:yMode val="edge"/>
          <c:x val="0.1255625"/>
          <c:y val="0"/>
        </c:manualLayout>
      </c:layout>
      <c:overlay val="0"/>
      <c:spPr>
        <a:noFill/>
        <a:ln w="0">
          <a:noFill/>
        </a:ln>
      </c:spPr>
    </c:title>
    <c:autoTitleDeleted val="0"/>
    <c:plotArea>
      <c:layout>
        <c:manualLayout>
          <c:layoutTarget val="inner"/>
          <c:xMode val="edge"/>
          <c:yMode val="edge"/>
          <c:x val="0.0608125"/>
          <c:y val="0.126222222222222"/>
          <c:w val="0.801"/>
          <c:h val="0.506444444444445"/>
        </c:manualLayout>
      </c:layout>
      <c:barChart>
        <c:barDir val="col"/>
        <c:grouping val="stacked"/>
        <c:varyColors val="0"/>
        <c:ser>
          <c:idx val="0"/>
          <c:order val="0"/>
          <c:tx>
            <c:strRef>
              <c:f>label 0</c:f>
              <c:strCache>
                <c:ptCount val="1"/>
                <c:pt idx="0">
                  <c:v>Громадські будівлі</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210485.8431638</c:v>
                </c:pt>
                <c:pt idx="1">
                  <c:v>222060.5961276</c:v>
                </c:pt>
                <c:pt idx="2">
                  <c:v>211207.405208</c:v>
                </c:pt>
                <c:pt idx="3">
                  <c:v>174379.282</c:v>
                </c:pt>
                <c:pt idx="4">
                  <c:v>374729.684344386</c:v>
                </c:pt>
                <c:pt idx="5">
                  <c:v>349154.891629657</c:v>
                </c:pt>
                <c:pt idx="6">
                  <c:v>393196.266328414</c:v>
                </c:pt>
                <c:pt idx="7">
                  <c:v>359216.425707414</c:v>
                </c:pt>
              </c:numCache>
            </c:numRef>
          </c:val>
        </c:ser>
        <c:ser>
          <c:idx val="1"/>
          <c:order val="1"/>
          <c:tx>
            <c:strRef>
              <c:f>label 1</c:f>
              <c:strCache>
                <c:ptCount val="1"/>
                <c:pt idx="0">
                  <c:v>Об'єкти водопостачання та 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41598</c:v>
                </c:pt>
                <c:pt idx="1">
                  <c:v>49322</c:v>
                </c:pt>
                <c:pt idx="2">
                  <c:v>51666.3</c:v>
                </c:pt>
                <c:pt idx="3">
                  <c:v>57648.5</c:v>
                </c:pt>
                <c:pt idx="4">
                  <c:v>106579.2</c:v>
                </c:pt>
                <c:pt idx="5">
                  <c:v>100796.4</c:v>
                </c:pt>
                <c:pt idx="6">
                  <c:v>136346.738</c:v>
                </c:pt>
                <c:pt idx="7">
                  <c:v>171943.577</c:v>
                </c:pt>
              </c:numCache>
            </c:numRef>
          </c:val>
        </c:ser>
        <c:ser>
          <c:idx val="2"/>
          <c:order val="2"/>
          <c:tx>
            <c:strRef>
              <c:f>label 2</c:f>
              <c:strCache>
                <c:ptCount val="1"/>
                <c:pt idx="0">
                  <c:v>Об’єкти зовнішнього освітлення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8106.988</c:v>
                </c:pt>
                <c:pt idx="1">
                  <c:v>9390.15</c:v>
                </c:pt>
                <c:pt idx="2">
                  <c:v>10563.861</c:v>
                </c:pt>
                <c:pt idx="3">
                  <c:v>12536.16</c:v>
                </c:pt>
                <c:pt idx="4">
                  <c:v>28052.4</c:v>
                </c:pt>
                <c:pt idx="5">
                  <c:v>23214.24</c:v>
                </c:pt>
                <c:pt idx="6">
                  <c:v>24522.284</c:v>
                </c:pt>
                <c:pt idx="7">
                  <c:v>30510.768</c:v>
                </c:pt>
              </c:numCache>
            </c:numRef>
          </c:val>
        </c:ser>
        <c:ser>
          <c:idx val="3"/>
          <c:order val="3"/>
          <c:tx>
            <c:strRef>
              <c:f>label 3</c:f>
              <c:strCache>
                <c:ptCount val="1"/>
                <c:pt idx="0">
                  <c:v>Житлові будівлі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804738.305361085</c:v>
                </c:pt>
                <c:pt idx="1">
                  <c:v>977840.926827021</c:v>
                </c:pt>
                <c:pt idx="2">
                  <c:v>809923.014722776</c:v>
                </c:pt>
                <c:pt idx="3">
                  <c:v>814333.465035219</c:v>
                </c:pt>
                <c:pt idx="4">
                  <c:v>1072133.57054613</c:v>
                </c:pt>
                <c:pt idx="5">
                  <c:v>961554.582630514</c:v>
                </c:pt>
                <c:pt idx="6">
                  <c:v>976991.926765487</c:v>
                </c:pt>
                <c:pt idx="7">
                  <c:v>1235297.75856439</c:v>
                </c:pt>
              </c:numCache>
            </c:numRef>
          </c:val>
        </c:ser>
        <c:ser>
          <c:idx val="4"/>
          <c:order val="4"/>
          <c:tx>
            <c:strRef>
              <c:f>label 4</c:f>
              <c:strCache>
                <c:ptCount val="1"/>
                <c:pt idx="0">
                  <c:v>Об'єкти у сфері теплопостачання (в частині споживання електричної енергії для потреб транспортування і розподілу теплової енергії)</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46624.7397</c:v>
                </c:pt>
                <c:pt idx="1">
                  <c:v>51304.8329</c:v>
                </c:pt>
                <c:pt idx="2">
                  <c:v>49683.8568</c:v>
                </c:pt>
                <c:pt idx="3">
                  <c:v>54886.1991</c:v>
                </c:pt>
                <c:pt idx="4">
                  <c:v>66756.4506</c:v>
                </c:pt>
                <c:pt idx="5">
                  <c:v>58066.3332</c:v>
                </c:pt>
                <c:pt idx="6">
                  <c:v>50601.294</c:v>
                </c:pt>
                <c:pt idx="7">
                  <c:v>49344.9228</c:v>
                </c:pt>
              </c:numCache>
            </c:numRef>
          </c:val>
        </c:ser>
        <c:ser>
          <c:idx val="5"/>
          <c:order val="5"/>
          <c:tx>
            <c:strRef>
              <c:f>label 5</c:f>
              <c:strCache>
                <c:ptCount val="1"/>
                <c:pt idx="0">
                  <c:v>Об'єкти з управління побутовими відходами</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5</c:f>
              <c:numCache>
                <c:formatCode>General</c:formatCode>
                <c:ptCount val="8"/>
                <c:pt idx="0">
                  <c:v>9493.77013442747</c:v>
                </c:pt>
                <c:pt idx="1">
                  <c:v>12448.7729741985</c:v>
                </c:pt>
                <c:pt idx="2">
                  <c:v>12748.254209313</c:v>
                </c:pt>
                <c:pt idx="3">
                  <c:v>11096.2443926718</c:v>
                </c:pt>
                <c:pt idx="4">
                  <c:v>13071.3042267939</c:v>
                </c:pt>
                <c:pt idx="5">
                  <c:v>22769.5914928244</c:v>
                </c:pt>
                <c:pt idx="6">
                  <c:v>25572.4919071756</c:v>
                </c:pt>
                <c:pt idx="7">
                  <c:v>36493.8455370992</c:v>
                </c:pt>
              </c:numCache>
            </c:numRef>
          </c:val>
        </c:ser>
        <c:ser>
          <c:idx val="6"/>
          <c:order val="6"/>
          <c:tx>
            <c:strRef>
              <c:f>label 6</c:f>
              <c:strCache>
                <c:ptCount val="1"/>
                <c:pt idx="0">
                  <c:v>Третинний сектор</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6</c:f>
              <c:numCache>
                <c:formatCode>General</c:formatCode>
                <c:ptCount val="8"/>
                <c:pt idx="0">
                  <c:v>743585.5091577</c:v>
                </c:pt>
                <c:pt idx="1">
                  <c:v>900567.509163709</c:v>
                </c:pt>
                <c:pt idx="2">
                  <c:v>807025.126338368</c:v>
                </c:pt>
                <c:pt idx="3">
                  <c:v>1229976.6874</c:v>
                </c:pt>
                <c:pt idx="4">
                  <c:v>2430940.3774472</c:v>
                </c:pt>
                <c:pt idx="5">
                  <c:v>2086808.6251793</c:v>
                </c:pt>
                <c:pt idx="6">
                  <c:v>2246997.7488703</c:v>
                </c:pt>
                <c:pt idx="7">
                  <c:v>2416881.5024036</c:v>
                </c:pt>
              </c:numCache>
            </c:numRef>
          </c:val>
        </c:ser>
        <c:ser>
          <c:idx val="7"/>
          <c:order val="7"/>
          <c:tx>
            <c:strRef>
              <c:f>label 7</c:f>
              <c:strCache>
                <c:ptCount val="1"/>
                <c:pt idx="0">
                  <c:v>Громадський транспорт та відповідна інфраструктура</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7</c:f>
              <c:numCache>
                <c:formatCode>General</c:formatCode>
                <c:ptCount val="8"/>
                <c:pt idx="0">
                  <c:v>74470.3583157569</c:v>
                </c:pt>
                <c:pt idx="1">
                  <c:v>83867.3557372453</c:v>
                </c:pt>
                <c:pt idx="2">
                  <c:v>93113.0179607529</c:v>
                </c:pt>
                <c:pt idx="3">
                  <c:v>88502.0568096168</c:v>
                </c:pt>
                <c:pt idx="4">
                  <c:v>109834.316580875</c:v>
                </c:pt>
                <c:pt idx="5">
                  <c:v>189437.609111976</c:v>
                </c:pt>
                <c:pt idx="6">
                  <c:v>193038.237387068</c:v>
                </c:pt>
                <c:pt idx="7">
                  <c:v>237345.845808899</c:v>
                </c:pt>
              </c:numCache>
            </c:numRef>
          </c:val>
        </c:ser>
        <c:ser>
          <c:idx val="8"/>
          <c:order val="8"/>
          <c:tx>
            <c:strRef>
              <c:f>label 8</c:f>
              <c:strCache>
                <c:ptCount val="1"/>
                <c:pt idx="0">
                  <c:v>Іншій транспорт</c:v>
                </c:pt>
              </c:strCache>
            </c:strRef>
          </c:tx>
          <c:spPr>
            <a:solidFill>
              <a:srgbClr val="4b1f6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8</c:f>
              <c:numCache>
                <c:formatCode>General</c:formatCode>
                <c:ptCount val="8"/>
                <c:pt idx="0">
                  <c:v>499305.576543845</c:v>
                </c:pt>
                <c:pt idx="1">
                  <c:v>593448.301061438</c:v>
                </c:pt>
                <c:pt idx="2">
                  <c:v>562436.011935612</c:v>
                </c:pt>
                <c:pt idx="3">
                  <c:v>489418.14389805</c:v>
                </c:pt>
                <c:pt idx="4">
                  <c:v>640913.847770974</c:v>
                </c:pt>
                <c:pt idx="5">
                  <c:v>1034652.02282179</c:v>
                </c:pt>
                <c:pt idx="6">
                  <c:v>1186188.86967136</c:v>
                </c:pt>
                <c:pt idx="7">
                  <c:v>1308553.61756277</c:v>
                </c:pt>
              </c:numCache>
            </c:numRef>
          </c:val>
        </c:ser>
        <c:gapWidth val="100"/>
        <c:overlap val="100"/>
        <c:axId val="91128672"/>
        <c:axId val="78283338"/>
      </c:barChart>
      <c:catAx>
        <c:axId val="91128672"/>
        <c:scaling>
          <c:orientation val="minMax"/>
        </c:scaling>
        <c:delete val="0"/>
        <c:axPos val="b"/>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8283338"/>
        <c:crosses val="autoZero"/>
        <c:auto val="1"/>
        <c:lblAlgn val="ctr"/>
        <c:lblOffset val="100"/>
        <c:noMultiLvlLbl val="0"/>
      </c:catAx>
      <c:valAx>
        <c:axId val="78283338"/>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91128672"/>
        <c:crossesAt val="1"/>
        <c:crossBetween val="between"/>
      </c:valAx>
      <c:spPr>
        <a:noFill/>
        <a:ln w="0">
          <a:solidFill>
            <a:srgbClr val="b3b3b3"/>
          </a:solidFill>
        </a:ln>
      </c:spPr>
    </c:plotArea>
    <c:legend>
      <c:legendPos val="b"/>
      <c:layout>
        <c:manualLayout>
          <c:xMode val="edge"/>
          <c:yMode val="edge"/>
          <c:x val="0"/>
          <c:y val="0.709777777777778"/>
          <c:w val="0.870741921370086"/>
          <c:h val="0.278475386154017"/>
        </c:manualLayout>
      </c:layout>
      <c:overlay val="1"/>
      <c:spPr>
        <a:noFill/>
        <a:ln w="0">
          <a:noFill/>
        </a:ln>
      </c:spPr>
      <c:txPr>
        <a:bodyPr/>
        <a:lstStyle/>
        <a:p>
          <a:pPr>
            <a:defRPr b="0" sz="9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19.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200" spc="-1" strike="noStrike">
                <a:solidFill>
                  <a:srgbClr val="000000"/>
                </a:solidFill>
                <a:latin typeface="Arial"/>
                <a:ea typeface="DejaVu Sans"/>
              </a:defRPr>
            </a:pPr>
            <a:r>
              <a:rPr b="0" lang="uk-UA" sz="1200" spc="-1" strike="noStrike">
                <a:solidFill>
                  <a:srgbClr val="000000"/>
                </a:solidFill>
                <a:latin typeface="Arial"/>
                <a:ea typeface="DejaVu Sans"/>
              </a:rPr>
              <a:t>Зведений вартісний баланс за період 2017-2024 роки за видами енергії</a:t>
            </a:r>
          </a:p>
        </c:rich>
      </c:tx>
      <c:overlay val="0"/>
      <c:spPr>
        <a:noFill/>
        <a:ln w="0">
          <a:noFill/>
        </a:ln>
      </c:spPr>
    </c:title>
    <c:autoTitleDeleted val="0"/>
    <c:plotArea>
      <c:barChart>
        <c:barDir val="col"/>
        <c:grouping val="stacked"/>
        <c:varyColors val="0"/>
        <c:ser>
          <c:idx val="0"/>
          <c:order val="0"/>
          <c:tx>
            <c:strRef>
              <c:f>label 0</c:f>
              <c:strCache>
                <c:ptCount val="1"/>
                <c:pt idx="0">
                  <c:v>Тепло</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708.838235</c:v>
                </c:pt>
                <c:pt idx="1">
                  <c:v>853.3180313</c:v>
                </c:pt>
                <c:pt idx="2">
                  <c:v>656.4354103</c:v>
                </c:pt>
                <c:pt idx="3">
                  <c:v>502.9611984</c:v>
                </c:pt>
                <c:pt idx="4">
                  <c:v>842.6809154</c:v>
                </c:pt>
                <c:pt idx="5">
                  <c:v>678.808616</c:v>
                </c:pt>
                <c:pt idx="6">
                  <c:v>701.797061</c:v>
                </c:pt>
                <c:pt idx="7">
                  <c:v>713.239775418501</c:v>
                </c:pt>
              </c:numCache>
            </c:numRef>
          </c:val>
        </c:ser>
        <c:ser>
          <c:idx val="1"/>
          <c:order val="1"/>
          <c:tx>
            <c:strRef>
              <c:f>label 1</c:f>
              <c:strCache>
                <c:ptCount val="1"/>
                <c:pt idx="0">
                  <c:v>Природний газ</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72.808895588763</c:v>
                </c:pt>
                <c:pt idx="1">
                  <c:v>80.7563039334678</c:v>
                </c:pt>
                <c:pt idx="2">
                  <c:v>70.7803425716439</c:v>
                </c:pt>
                <c:pt idx="3">
                  <c:v>232.872562892361</c:v>
                </c:pt>
                <c:pt idx="4">
                  <c:v>374.093318651999</c:v>
                </c:pt>
                <c:pt idx="5">
                  <c:v>261.5429198234</c:v>
                </c:pt>
                <c:pt idx="6">
                  <c:v>646.5254842142</c:v>
                </c:pt>
                <c:pt idx="7">
                  <c:v>704.1311404569</c:v>
                </c:pt>
              </c:numCache>
            </c:numRef>
          </c:val>
        </c:ser>
        <c:ser>
          <c:idx val="2"/>
          <c:order val="2"/>
          <c:tx>
            <c:strRef>
              <c:f>label 2</c:f>
              <c:strCache>
                <c:ptCount val="1"/>
                <c:pt idx="0">
                  <c:v>Електроенергія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1074.69944540609</c:v>
                </c:pt>
                <c:pt idx="1">
                  <c:v>1273.54530714979</c:v>
                </c:pt>
                <c:pt idx="2">
                  <c:v>1208.97035628</c:v>
                </c:pt>
                <c:pt idx="3">
                  <c:v>1598.20809028</c:v>
                </c:pt>
                <c:pt idx="4">
                  <c:v>2872.02559628</c:v>
                </c:pt>
                <c:pt idx="5">
                  <c:v>2623.97095185504</c:v>
                </c:pt>
                <c:pt idx="6">
                  <c:v>2462.23842692061</c:v>
                </c:pt>
                <c:pt idx="7">
                  <c:v>2833.3595851584</c:v>
                </c:pt>
              </c:numCache>
            </c:numRef>
          </c:val>
        </c:ser>
        <c:ser>
          <c:idx val="3"/>
          <c:order val="3"/>
          <c:tx>
            <c:strRef>
              <c:f>label 3</c:f>
              <c:strCache>
                <c:ptCount val="1"/>
                <c:pt idx="0">
                  <c:v>Деревина</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19.9516510938214</c:v>
                </c:pt>
                <c:pt idx="1">
                  <c:v>25.3379708848607</c:v>
                </c:pt>
                <c:pt idx="2">
                  <c:v>27.6582033975</c:v>
                </c:pt>
                <c:pt idx="3">
                  <c:v>29.1374331428571</c:v>
                </c:pt>
                <c:pt idx="4">
                  <c:v>29.1597342857143</c:v>
                </c:pt>
                <c:pt idx="5">
                  <c:v>49.1879136160714</c:v>
                </c:pt>
                <c:pt idx="6">
                  <c:v>55.34866375</c:v>
                </c:pt>
                <c:pt idx="7">
                  <c:v>61.18023</c:v>
                </c:pt>
              </c:numCache>
            </c:numRef>
          </c:val>
        </c:ser>
        <c:ser>
          <c:idx val="4"/>
          <c:order val="4"/>
          <c:tx>
            <c:strRef>
              <c:f>label 4</c:f>
              <c:strCache>
                <c:ptCount val="1"/>
                <c:pt idx="0">
                  <c:v>Бензин</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244.619498254266</c:v>
                </c:pt>
                <c:pt idx="1">
                  <c:v>278.594848626164</c:v>
                </c:pt>
                <c:pt idx="2">
                  <c:v>266.67255545</c:v>
                </c:pt>
                <c:pt idx="3">
                  <c:v>235.060164458</c:v>
                </c:pt>
                <c:pt idx="4">
                  <c:v>301.1898260394</c:v>
                </c:pt>
                <c:pt idx="5">
                  <c:v>466.791676711568</c:v>
                </c:pt>
                <c:pt idx="6">
                  <c:v>553.549248429153</c:v>
                </c:pt>
                <c:pt idx="7">
                  <c:v>632.8304462127</c:v>
                </c:pt>
              </c:numCache>
            </c:numRef>
          </c:val>
        </c:ser>
        <c:ser>
          <c:idx val="5"/>
          <c:order val="5"/>
          <c:tx>
            <c:strRef>
              <c:f>label 5</c:f>
              <c:strCache>
                <c:ptCount val="1"/>
                <c:pt idx="0">
                  <c:v>Дизельне пальне</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5</c:f>
              <c:numCache>
                <c:formatCode>General</c:formatCode>
                <c:ptCount val="8"/>
                <c:pt idx="0">
                  <c:v>305.42885351758</c:v>
                </c:pt>
                <c:pt idx="1">
                  <c:v>374.727153138078</c:v>
                </c:pt>
                <c:pt idx="2">
                  <c:v>365.053637239</c:v>
                </c:pt>
                <c:pt idx="3">
                  <c:v>321.8926328592</c:v>
                </c:pt>
                <c:pt idx="4">
                  <c:v>403.2043268468</c:v>
                </c:pt>
                <c:pt idx="5">
                  <c:v>719.995867836544</c:v>
                </c:pt>
                <c:pt idx="6">
                  <c:v>779.147485653699</c:v>
                </c:pt>
                <c:pt idx="7">
                  <c:v>864.8603981376</c:v>
                </c:pt>
              </c:numCache>
            </c:numRef>
          </c:val>
        </c:ser>
        <c:ser>
          <c:idx val="6"/>
          <c:order val="6"/>
          <c:tx>
            <c:strRef>
              <c:f>label 6</c:f>
              <c:strCache>
                <c:ptCount val="1"/>
                <c:pt idx="0">
                  <c:v>CNG (Метан)</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6</c:f>
              <c:numCache>
                <c:formatCode>General</c:formatCode>
                <c:ptCount val="8"/>
                <c:pt idx="0">
                  <c:v>10.3844467368378</c:v>
                </c:pt>
                <c:pt idx="1">
                  <c:v>12.3319433376305</c:v>
                </c:pt>
                <c:pt idx="2">
                  <c:v>11.3098608148959</c:v>
                </c:pt>
                <c:pt idx="3">
                  <c:v>11.2186354684336</c:v>
                </c:pt>
                <c:pt idx="4">
                  <c:v>17.5546549533162</c:v>
                </c:pt>
                <c:pt idx="5">
                  <c:v>24.071607126705</c:v>
                </c:pt>
                <c:pt idx="6">
                  <c:v>31.4621038186563</c:v>
                </c:pt>
                <c:pt idx="7">
                  <c:v>30.3351398319288</c:v>
                </c:pt>
              </c:numCache>
            </c:numRef>
          </c:val>
        </c:ser>
        <c:ser>
          <c:idx val="7"/>
          <c:order val="7"/>
          <c:tx>
            <c:strRef>
              <c:f>label 7</c:f>
              <c:strCache>
                <c:ptCount val="1"/>
                <c:pt idx="0">
                  <c:v>LPG (Пропан-Бутан)</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7</c:f>
              <c:numCache>
                <c:formatCode>General</c:formatCode>
                <c:ptCount val="8"/>
                <c:pt idx="0">
                  <c:v>1.67806477925961</c:v>
                </c:pt>
                <c:pt idx="1">
                  <c:v>1.63888642121574</c:v>
                </c:pt>
                <c:pt idx="2">
                  <c:v>1.48648212178168</c:v>
                </c:pt>
                <c:pt idx="3">
                  <c:v>1.42602113470534</c:v>
                </c:pt>
                <c:pt idx="4">
                  <c:v>3.10277905912672</c:v>
                </c:pt>
                <c:pt idx="5">
                  <c:v>2.08474309673395</c:v>
                </c:pt>
                <c:pt idx="6">
                  <c:v>3.38738314348093</c:v>
                </c:pt>
                <c:pt idx="7">
                  <c:v>5.65154816814046</c:v>
                </c:pt>
              </c:numCache>
            </c:numRef>
          </c:val>
        </c:ser>
        <c:gapWidth val="100"/>
        <c:overlap val="100"/>
        <c:axId val="98072163"/>
        <c:axId val="17180069"/>
      </c:barChart>
      <c:catAx>
        <c:axId val="98072163"/>
        <c:scaling>
          <c:orientation val="minMax"/>
        </c:scaling>
        <c:delete val="0"/>
        <c:axPos val="b"/>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7180069"/>
        <c:crosses val="autoZero"/>
        <c:auto val="1"/>
        <c:lblAlgn val="ctr"/>
        <c:lblOffset val="100"/>
        <c:noMultiLvlLbl val="0"/>
      </c:catAx>
      <c:valAx>
        <c:axId val="17180069"/>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98072163"/>
        <c:crossesAt val="1"/>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20.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000" spc="-1" strike="noStrike">
                <a:solidFill>
                  <a:srgbClr val="000000"/>
                </a:solidFill>
                <a:latin typeface="Arial"/>
                <a:ea typeface="DejaVu Sans"/>
              </a:defRPr>
            </a:pPr>
            <a:r>
              <a:rPr b="0" lang="uk-UA" sz="1000" spc="-1" strike="noStrike">
                <a:solidFill>
                  <a:srgbClr val="000000"/>
                </a:solidFill>
                <a:latin typeface="Arial"/>
                <a:ea typeface="DejaVu Sans"/>
              </a:rPr>
              <a:t>Порівняння базової лінії та очікуваних обсягів енергоспоживання, МВт.год</a:t>
            </a:r>
          </a:p>
        </c:rich>
      </c:tx>
      <c:overlay val="0"/>
      <c:spPr>
        <a:noFill/>
        <a:ln w="0">
          <a:noFill/>
        </a:ln>
      </c:spPr>
    </c:title>
    <c:autoTitleDeleted val="0"/>
    <c:plotArea>
      <c:barChart>
        <c:barDir val="col"/>
        <c:grouping val="stacked"/>
        <c:varyColors val="0"/>
        <c:ser>
          <c:idx val="0"/>
          <c:order val="0"/>
          <c:tx>
            <c:strRef>
              <c:f>label 0</c:f>
              <c:strCache>
                <c:ptCount val="1"/>
                <c:pt idx="0">
                  <c:v>Споживання без ВДЕ</c:v>
                </c:pt>
              </c:strCache>
            </c:strRef>
          </c:tx>
          <c:spPr>
            <a:solidFill>
              <a:srgbClr val="5b9bd5"/>
            </a:solidFill>
            <a:ln w="0">
              <a:noFill/>
            </a:ln>
          </c:spPr>
          <c:invertIfNegative val="0"/>
          <c:dLbls>
            <c:txPr>
              <a:bodyPr wrap="squar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strCache>
            </c:strRef>
          </c:cat>
          <c:val>
            <c:numRef>
              <c:f>0</c:f>
              <c:numCache>
                <c:formatCode>General</c:formatCode>
                <c:ptCount val="14"/>
                <c:pt idx="0">
                  <c:v>2056950.32263759</c:v>
                </c:pt>
                <c:pt idx="1">
                  <c:v>2041695.85409666</c:v>
                </c:pt>
                <c:pt idx="2">
                  <c:v>1740376.70458341</c:v>
                </c:pt>
                <c:pt idx="3">
                  <c:v>2106967.94326469</c:v>
                </c:pt>
                <c:pt idx="4">
                  <c:v>2228971.81777003</c:v>
                </c:pt>
                <c:pt idx="5">
                  <c:v>1994408.93962943</c:v>
                </c:pt>
                <c:pt idx="6">
                  <c:v>2076933.4121478</c:v>
                </c:pt>
                <c:pt idx="7">
                  <c:v>2131866.13295215</c:v>
                </c:pt>
                <c:pt idx="8">
                  <c:v>2071316.06836072</c:v>
                </c:pt>
                <c:pt idx="9">
                  <c:v>2009266.00376929</c:v>
                </c:pt>
                <c:pt idx="10">
                  <c:v>1946215.93917786</c:v>
                </c:pt>
                <c:pt idx="11">
                  <c:v>1880165.87458643</c:v>
                </c:pt>
                <c:pt idx="12">
                  <c:v>1810115.809995</c:v>
                </c:pt>
                <c:pt idx="13">
                  <c:v>1637626.9503749</c:v>
                </c:pt>
              </c:numCache>
            </c:numRef>
          </c:val>
        </c:ser>
        <c:ser>
          <c:idx val="1"/>
          <c:order val="1"/>
          <c:tx>
            <c:strRef>
              <c:f>label 1</c:f>
              <c:strCache>
                <c:ptCount val="1"/>
                <c:pt idx="0">
                  <c:v>Споживання ВДЕ</c:v>
                </c:pt>
              </c:strCache>
            </c:strRef>
          </c:tx>
          <c:spPr>
            <a:solidFill>
              <a:srgbClr val="92d050"/>
            </a:solidFill>
            <a:ln w="0">
              <a:noFill/>
            </a:ln>
          </c:spPr>
          <c:invertIfNegative val="0"/>
          <c:dLbls>
            <c:txPr>
              <a:bodyPr wrap="squar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strCache>
            </c:strRef>
          </c:cat>
          <c:val>
            <c:numRef>
              <c:f>1</c:f>
              <c:numCache>
                <c:formatCode>General</c:formatCode>
                <c:ptCount val="14"/>
                <c:pt idx="0">
                  <c:v>74194.696485012</c:v>
                </c:pt>
                <c:pt idx="1">
                  <c:v>76489.3778196</c:v>
                </c:pt>
                <c:pt idx="2">
                  <c:v>78855.02868</c:v>
                </c:pt>
                <c:pt idx="3">
                  <c:v>81293.844</c:v>
                </c:pt>
                <c:pt idx="4">
                  <c:v>82041.1682</c:v>
                </c:pt>
                <c:pt idx="5">
                  <c:v>82357.0971</c:v>
                </c:pt>
                <c:pt idx="6">
                  <c:v>84441.319582</c:v>
                </c:pt>
                <c:pt idx="7">
                  <c:v>86758.66074</c:v>
                </c:pt>
                <c:pt idx="8">
                  <c:v>97815.66574</c:v>
                </c:pt>
                <c:pt idx="9">
                  <c:v>108872.67074</c:v>
                </c:pt>
                <c:pt idx="10">
                  <c:v>119929.67574</c:v>
                </c:pt>
                <c:pt idx="11">
                  <c:v>130986.68074</c:v>
                </c:pt>
                <c:pt idx="12">
                  <c:v>142043.68574</c:v>
                </c:pt>
                <c:pt idx="13">
                  <c:v>153100.69074</c:v>
                </c:pt>
              </c:numCache>
            </c:numRef>
          </c:val>
        </c:ser>
        <c:gapWidth val="300"/>
        <c:overlap val="100"/>
        <c:axId val="37902180"/>
        <c:axId val="66420675"/>
      </c:barChart>
      <c:lineChart>
        <c:grouping val="stacked"/>
        <c:varyColors val="0"/>
        <c:ser>
          <c:idx val="2"/>
          <c:order val="2"/>
          <c:tx>
            <c:strRef>
              <c:f>label 2</c:f>
              <c:strCache>
                <c:ptCount val="1"/>
                <c:pt idx="0">
                  <c:v>Базова лінія енергоспоживання</c:v>
                </c:pt>
              </c:strCache>
            </c:strRef>
          </c:tx>
          <c:spPr>
            <a:solidFill>
              <a:srgbClr val="ff9900"/>
            </a:solidFill>
            <a:ln w="25560">
              <a:solidFill>
                <a:srgbClr val="ff9900"/>
              </a:solidFill>
              <a:round/>
            </a:ln>
          </c:spPr>
          <c:dLbls>
            <c:txPr>
              <a:bodyPr wrap="square"/>
              <a:lstStyle/>
              <a:p>
                <a:pPr>
                  <a:defRPr b="0" sz="1000" spc="-1" strike="noStrike">
                    <a:solidFill>
                      <a:srgbClr val="000000"/>
                    </a:solidFill>
                    <a:latin typeface="Arial"/>
                    <a:ea typeface="DejaVu Sans"/>
                  </a:defRPr>
                </a:pPr>
              </a:p>
            </c:txPr>
            <c:dLblPos val="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strCache>
            </c:strRef>
          </c:cat>
          <c:val>
            <c:numRef>
              <c:f>2</c:f>
              <c:numCache>
                <c:formatCode>General</c:formatCode>
                <c:ptCount val="14"/>
                <c:pt idx="0">
                  <c:v>2131145.0191226</c:v>
                </c:pt>
                <c:pt idx="1">
                  <c:v>2118185.23191626</c:v>
                </c:pt>
                <c:pt idx="2">
                  <c:v>1819231.73326341</c:v>
                </c:pt>
                <c:pt idx="3">
                  <c:v>2188261.78726469</c:v>
                </c:pt>
                <c:pt idx="4">
                  <c:v>2311012.98597003</c:v>
                </c:pt>
                <c:pt idx="5">
                  <c:v>2076766.03672943</c:v>
                </c:pt>
                <c:pt idx="6">
                  <c:v>2161374.7317298</c:v>
                </c:pt>
                <c:pt idx="7">
                  <c:v>2218624.79369215</c:v>
                </c:pt>
                <c:pt idx="8">
                  <c:v>2254122.79039122</c:v>
                </c:pt>
                <c:pt idx="9">
                  <c:v>2283426.38666631</c:v>
                </c:pt>
                <c:pt idx="10">
                  <c:v>2310827.5033063</c:v>
                </c:pt>
                <c:pt idx="11">
                  <c:v>2335091.19209102</c:v>
                </c:pt>
                <c:pt idx="12">
                  <c:v>2357274.55841588</c:v>
                </c:pt>
                <c:pt idx="13">
                  <c:v>2378490.02944163</c:v>
                </c:pt>
              </c:numCache>
            </c:numRef>
          </c:val>
          <c:smooth val="0"/>
        </c:ser>
        <c:hiLowLines>
          <c:spPr>
            <a:ln w="0">
              <a:noFill/>
            </a:ln>
          </c:spPr>
        </c:hiLowLines>
        <c:marker val="1"/>
        <c:axId val="57653128"/>
        <c:axId val="50476082"/>
      </c:lineChart>
      <c:catAx>
        <c:axId val="37902180"/>
        <c:scaling>
          <c:orientation val="minMax"/>
        </c:scaling>
        <c:delete val="0"/>
        <c:axPos val="b"/>
        <c:numFmt formatCode="0" sourceLinked="0"/>
        <c:majorTickMark val="out"/>
        <c:minorTickMark val="none"/>
        <c:tickLblPos val="nextTo"/>
        <c:spPr>
          <a:ln w="0">
            <a:solidFill>
              <a:srgbClr val="b3b3b3"/>
            </a:solidFill>
          </a:ln>
        </c:spPr>
        <c:txPr>
          <a:bodyPr rot="-3600000"/>
          <a:lstStyle/>
          <a:p>
            <a:pPr>
              <a:defRPr b="0" sz="800" spc="-1" strike="noStrike">
                <a:solidFill>
                  <a:srgbClr val="000000"/>
                </a:solidFill>
                <a:latin typeface="Arial"/>
                <a:ea typeface="DejaVu Sans"/>
              </a:defRPr>
            </a:pPr>
          </a:p>
        </c:txPr>
        <c:crossAx val="66420675"/>
        <c:crosses val="autoZero"/>
        <c:auto val="1"/>
        <c:lblAlgn val="ctr"/>
        <c:lblOffset val="100"/>
        <c:noMultiLvlLbl val="0"/>
      </c:catAx>
      <c:valAx>
        <c:axId val="66420675"/>
        <c:scaling>
          <c:orientation val="minMax"/>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b="0" sz="800" spc="-1" strike="noStrike">
                <a:solidFill>
                  <a:srgbClr val="000000"/>
                </a:solidFill>
                <a:latin typeface="Arial"/>
                <a:ea typeface="DejaVu Sans"/>
              </a:defRPr>
            </a:pPr>
          </a:p>
        </c:txPr>
        <c:crossAx val="37902180"/>
        <c:crossesAt val="1"/>
        <c:crossBetween val="between"/>
      </c:valAx>
      <c:catAx>
        <c:axId val="57653128"/>
        <c:scaling>
          <c:orientation val="minMax"/>
        </c:scaling>
        <c:delete val="1"/>
        <c:axPos val="t"/>
        <c:numFmt formatCode="[$-422]dd/mm/yyyy" sourceLinked="1"/>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50476082"/>
        <c:auto val="1"/>
        <c:lblAlgn val="ctr"/>
        <c:lblOffset val="100"/>
        <c:noMultiLvlLbl val="0"/>
      </c:catAx>
      <c:valAx>
        <c:axId val="50476082"/>
        <c:scaling>
          <c:orientation val="minMax"/>
        </c:scaling>
        <c:delete val="0"/>
        <c:axPos val="r"/>
        <c:numFmt formatCode="0" sourceLinked="0"/>
        <c:majorTickMark val="out"/>
        <c:minorTickMark val="none"/>
        <c:tickLblPos val="nextTo"/>
        <c:spPr>
          <a:ln w="0">
            <a:solidFill>
              <a:srgbClr val="b3b3b3"/>
            </a:solidFill>
          </a:ln>
        </c:spPr>
        <c:txPr>
          <a:bodyPr/>
          <a:lstStyle/>
          <a:p>
            <a:pPr>
              <a:defRPr b="0" sz="800" spc="-1" strike="noStrike">
                <a:solidFill>
                  <a:srgbClr val="000000"/>
                </a:solidFill>
                <a:latin typeface="Arial"/>
                <a:ea typeface="DejaVu Sans"/>
              </a:defRPr>
            </a:pPr>
          </a:p>
        </c:txPr>
        <c:crossAx val="57653128"/>
        <c:crosses val="max"/>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21.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200" spc="-1" strike="noStrike">
                <a:solidFill>
                  <a:srgbClr val="000000"/>
                </a:solidFill>
                <a:latin typeface="Arial"/>
                <a:ea typeface="DejaVu Sans"/>
              </a:defRPr>
            </a:pPr>
            <a:r>
              <a:rPr b="0" lang="uk-UA" sz="1200" spc="-1" strike="noStrike">
                <a:solidFill>
                  <a:srgbClr val="000000"/>
                </a:solidFill>
                <a:latin typeface="Arial"/>
                <a:ea typeface="DejaVu Sans"/>
              </a:rPr>
              <a:t>Інвестиційний баланс реалізації заходів муніципального енергетичного плану, млн грн</a:t>
            </a:r>
          </a:p>
        </c:rich>
      </c:tx>
      <c:overlay val="0"/>
      <c:spPr>
        <a:noFill/>
        <a:ln w="0">
          <a:noFill/>
        </a:ln>
      </c:spPr>
    </c:title>
    <c:autoTitleDeleted val="0"/>
    <c:plotArea>
      <c:barChart>
        <c:barDir val="col"/>
        <c:grouping val="clustered"/>
        <c:varyColors val="0"/>
        <c:ser>
          <c:idx val="0"/>
          <c:order val="0"/>
          <c:tx>
            <c:strRef>
              <c:f>label 0</c:f>
              <c:strCache>
                <c:ptCount val="1"/>
                <c:pt idx="0">
                  <c:v>Рядок 27</c:v>
                </c:pt>
              </c:strCache>
            </c:strRef>
          </c:tx>
          <c:spPr>
            <a:solidFill>
              <a:srgbClr val="004586"/>
            </a:solidFill>
            <a:ln w="0">
              <a:noFill/>
            </a:ln>
          </c:spPr>
          <c:invertIfNegative val="0"/>
          <c:dLbls>
            <c:numFmt formatCode="0" sourceLinked="0"/>
            <c:txPr>
              <a:bodyPr wrap="none"/>
              <a:lstStyle/>
              <a:p>
                <a:pPr>
                  <a:defRPr b="0" sz="1000" spc="-1" strike="noStrike">
                    <a:solidFill>
                      <a:srgbClr val="000000"/>
                    </a:solidFill>
                    <a:latin typeface="Arial"/>
                    <a:ea typeface="DejaVu Sans"/>
                  </a:defRPr>
                </a:pPr>
              </a:p>
            </c:txPr>
            <c:dLblPos val="outEnd"/>
            <c:showLegendKey val="0"/>
            <c:showVal val="1"/>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6"/>
                <c:pt idx="0">
                  <c:v>2025</c:v>
                </c:pt>
                <c:pt idx="1">
                  <c:v>2026</c:v>
                </c:pt>
                <c:pt idx="2">
                  <c:v>2027</c:v>
                </c:pt>
                <c:pt idx="3">
                  <c:v>2028</c:v>
                </c:pt>
                <c:pt idx="4">
                  <c:v>2029</c:v>
                </c:pt>
                <c:pt idx="5">
                  <c:v>2030</c:v>
                </c:pt>
              </c:strCache>
            </c:strRef>
          </c:cat>
          <c:val>
            <c:numRef>
              <c:f>0</c:f>
              <c:numCache>
                <c:formatCode>General</c:formatCode>
                <c:ptCount val="6"/>
                <c:pt idx="0">
                  <c:v>1965.85678</c:v>
                </c:pt>
                <c:pt idx="1">
                  <c:v>1128.92322</c:v>
                </c:pt>
                <c:pt idx="2">
                  <c:v>628.03</c:v>
                </c:pt>
                <c:pt idx="3">
                  <c:v>626.824</c:v>
                </c:pt>
                <c:pt idx="4">
                  <c:v>664.618</c:v>
                </c:pt>
                <c:pt idx="5">
                  <c:v>715.265</c:v>
                </c:pt>
              </c:numCache>
            </c:numRef>
          </c:val>
        </c:ser>
        <c:gapWidth val="100"/>
        <c:overlap val="0"/>
        <c:axId val="49453445"/>
        <c:axId val="70910073"/>
      </c:barChart>
      <c:catAx>
        <c:axId val="49453445"/>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0910073"/>
        <c:crosses val="autoZero"/>
        <c:auto val="1"/>
        <c:lblAlgn val="ctr"/>
        <c:lblOffset val="100"/>
        <c:noMultiLvlLbl val="0"/>
      </c:catAx>
      <c:valAx>
        <c:axId val="70910073"/>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49453445"/>
        <c:crosses val="autoZero"/>
        <c:crossBetween val="between"/>
      </c:valAx>
      <c:spPr>
        <a:noFill/>
        <a:ln w="0">
          <a:solidFill>
            <a:srgbClr val="b3b3b3"/>
          </a:solidFill>
        </a:ln>
      </c:spPr>
    </c:plotArea>
    <c:plotVisOnly val="1"/>
    <c:dispBlanksAs val="gap"/>
  </c:chart>
  <c:spPr>
    <a:solidFill>
      <a:srgbClr val="ffffff"/>
    </a:solidFill>
    <a:ln w="0">
      <a:noFill/>
    </a:ln>
  </c:spPr>
</c:chartSpace>
</file>

<file path=word/charts/chart22.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Чисельність наявного населення по м. Луцьку, тис. осіб</c:v>
                </c:pt>
              </c:strCache>
            </c:strRef>
          </c:tx>
          <c:spPr>
            <a:solidFill>
              <a:srgbClr val="4f81bd"/>
            </a:solidFill>
            <a:ln w="9360">
              <a:solidFill>
                <a:srgbClr val="365c89"/>
              </a:solidFill>
              <a:round/>
            </a:ln>
          </c:spPr>
          <c:invertIfNegative val="0"/>
          <c:dLbls>
            <c:numFmt formatCode="General" sourceLinked="0"/>
            <c:txPr>
              <a:bodyPr wrap="square"/>
              <a:lstStyle/>
              <a:p>
                <a:pPr>
                  <a:defRPr b="1" sz="1000" spc="-1" strike="noStrike">
                    <a:solidFill>
                      <a:srgbClr val="000000"/>
                    </a:solidFill>
                    <a:latin typeface="Calibri"/>
                    <a:ea typeface="DejaVu Sans"/>
                  </a:defRPr>
                </a:pPr>
              </a:p>
            </c:txPr>
            <c:dLblPos val="outEnd"/>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7"/>
                <c:pt idx="0">
                  <c:v>2017</c:v>
                </c:pt>
                <c:pt idx="1">
                  <c:v>2018</c:v>
                </c:pt>
                <c:pt idx="2">
                  <c:v>2019</c:v>
                </c:pt>
                <c:pt idx="3">
                  <c:v>2020</c:v>
                </c:pt>
                <c:pt idx="4">
                  <c:v>2021</c:v>
                </c:pt>
                <c:pt idx="5">
                  <c:v>2022</c:v>
                </c:pt>
                <c:pt idx="6">
                  <c:v>2024</c:v>
                </c:pt>
              </c:strCache>
            </c:strRef>
          </c:cat>
          <c:val>
            <c:numRef>
              <c:f>0</c:f>
              <c:numCache>
                <c:formatCode>General</c:formatCode>
                <c:ptCount val="7"/>
                <c:pt idx="0">
                  <c:v>216.5</c:v>
                </c:pt>
                <c:pt idx="1">
                  <c:v>216.9</c:v>
                </c:pt>
                <c:pt idx="2">
                  <c:v>217.3</c:v>
                </c:pt>
                <c:pt idx="3">
                  <c:v>217.2</c:v>
                </c:pt>
                <c:pt idx="4">
                  <c:v>216</c:v>
                </c:pt>
                <c:pt idx="5">
                  <c:v>212.9</c:v>
                </c:pt>
                <c:pt idx="6">
                  <c:v>217.1</c:v>
                </c:pt>
              </c:numCache>
            </c:numRef>
          </c:val>
        </c:ser>
        <c:gapWidth val="150"/>
        <c:overlap val="0"/>
        <c:axId val="766137"/>
        <c:axId val="9488415"/>
      </c:barChart>
      <c:catAx>
        <c:axId val="766137"/>
        <c:scaling>
          <c:orientation val="minMax"/>
        </c:scaling>
        <c:delete val="0"/>
        <c:axPos val="b"/>
        <c:majorGridlines>
          <c:spPr>
            <a:ln w="0">
              <a:solidFill>
                <a:srgbClr val="b3b3b3"/>
              </a:solidFill>
            </a:ln>
          </c:spPr>
        </c:majorGridlines>
        <c:numFmt formatCode="General" sourceLinked="0"/>
        <c:majorTickMark val="out"/>
        <c:minorTickMark val="none"/>
        <c:tickLblPos val="nextTo"/>
        <c:spPr>
          <a:ln w="9360">
            <a:solidFill>
              <a:srgbClr val="878787"/>
            </a:solidFill>
            <a:round/>
          </a:ln>
        </c:spPr>
        <c:txPr>
          <a:bodyPr/>
          <a:lstStyle/>
          <a:p>
            <a:pPr>
              <a:defRPr b="0" sz="900" spc="-1" strike="noStrike">
                <a:solidFill>
                  <a:srgbClr val="000000"/>
                </a:solidFill>
                <a:latin typeface="Calibri"/>
                <a:ea typeface="DejaVu Sans"/>
              </a:defRPr>
            </a:pPr>
          </a:p>
        </c:txPr>
        <c:crossAx val="9488415"/>
        <c:crosses val="autoZero"/>
        <c:auto val="1"/>
        <c:lblAlgn val="ctr"/>
        <c:lblOffset val="100"/>
        <c:noMultiLvlLbl val="0"/>
      </c:catAx>
      <c:valAx>
        <c:axId val="9488415"/>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9360">
            <a:solidFill>
              <a:srgbClr val="878787"/>
            </a:solidFill>
            <a:round/>
          </a:ln>
        </c:spPr>
        <c:txPr>
          <a:bodyPr/>
          <a:lstStyle/>
          <a:p>
            <a:pPr>
              <a:defRPr b="0" sz="1000" spc="-1" strike="noStrike">
                <a:solidFill>
                  <a:srgbClr val="000000"/>
                </a:solidFill>
                <a:latin typeface="Calibri"/>
                <a:ea typeface="DejaVu Sans"/>
              </a:defRPr>
            </a:pPr>
          </a:p>
        </c:txPr>
        <c:crossAx val="766137"/>
        <c:crossesAt val="1"/>
        <c:crossBetween val="between"/>
      </c:valAx>
      <c:spPr>
        <a:noFill/>
        <a:ln w="0">
          <a:noFill/>
        </a:ln>
      </c:spPr>
    </c:plotArea>
    <c:legend>
      <c:legendPos val="b"/>
      <c:overlay val="0"/>
      <c:spPr>
        <a:noFill/>
        <a:ln w="0">
          <a:noFill/>
        </a:ln>
      </c:spPr>
      <c:txPr>
        <a:bodyPr/>
        <a:lstStyle/>
        <a:p>
          <a:pPr>
            <a:defRPr b="0" sz="1000" spc="-1" strike="noStrike">
              <a:solidFill>
                <a:srgbClr val="000000"/>
              </a:solidFill>
              <a:latin typeface="Calibri"/>
              <a:ea typeface="DejaVu Sans"/>
            </a:defRPr>
          </a:pPr>
        </a:p>
      </c:txPr>
    </c:legend>
    <c:plotVisOnly val="1"/>
    <c:dispBlanksAs val="gap"/>
  </c:chart>
  <c:spPr>
    <a:solidFill>
      <a:srgbClr val="ffffff"/>
    </a:solidFill>
    <a:ln w="9360">
      <a:solidFill>
        <a:srgbClr val="d9d9d9"/>
      </a:solidFill>
      <a:round/>
    </a:ln>
  </c:spPr>
</c:chartSpace>
</file>

<file path=word/charts/chart23.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ayout>
        <c:manualLayout>
          <c:layoutTarget val="inner"/>
          <c:xMode val="edge"/>
          <c:yMode val="edge"/>
          <c:x val="0.106875"/>
          <c:y val="0.0414444444444444"/>
          <c:w val="0.84775"/>
          <c:h val="0.779111111111111"/>
        </c:manualLayout>
      </c:layout>
      <c:lineChart>
        <c:grouping val="standard"/>
        <c:varyColors val="0"/>
        <c:ser>
          <c:idx val="0"/>
          <c:order val="0"/>
          <c:tx>
            <c:strRef>
              <c:f>label 0</c:f>
              <c:strCache>
                <c:ptCount val="1"/>
                <c:pt idx="0">
                  <c:v>Кількість СПД, од.</c:v>
                </c:pt>
              </c:strCache>
            </c:strRef>
          </c:tx>
          <c:spPr>
            <a:solidFill>
              <a:srgbClr val="4f81bd"/>
            </a:solidFill>
            <a:ln w="28800">
              <a:solidFill>
                <a:srgbClr val="4f81bd"/>
              </a:solidFill>
              <a:round/>
            </a:ln>
          </c:spPr>
          <c:marker>
            <c:symbol val="square"/>
            <c:size val="8"/>
            <c:spPr>
              <a:solidFill>
                <a:srgbClr val="4f81bd"/>
              </a:solidFill>
            </c:spPr>
          </c:marker>
          <c:dPt>
            <c:idx val="0"/>
            <c:marker>
              <c:symbol val="square"/>
              <c:size val="8"/>
              <c:spPr>
                <a:solidFill>
                  <a:srgbClr val="4f81bd"/>
                </a:solidFill>
              </c:spPr>
            </c:marker>
          </c:dPt>
          <c:dPt>
            <c:idx val="3"/>
            <c:marker>
              <c:symbol val="square"/>
              <c:size val="8"/>
              <c:spPr>
                <a:solidFill>
                  <a:srgbClr val="4f81bd"/>
                </a:solidFill>
              </c:spPr>
            </c:marker>
          </c:dPt>
          <c:dLbls>
            <c:numFmt formatCode="General" sourceLinked="0"/>
            <c:dLbl>
              <c:idx val="0"/>
              <c:layout>
                <c:manualLayout>
                  <c:x val="0.0422425952045134"/>
                  <c:y val="0.00385067921702853"/>
                </c:manualLayout>
              </c:layout>
              <c:numFmt formatCode="General" sourceLinked="0"/>
              <c:txPr>
                <a:bodyPr wrap="square"/>
                <a:lstStyle/>
                <a:p>
                  <a:pPr>
                    <a:defRPr b="1" sz="1000" spc="-1" strike="noStrike">
                      <a:solidFill>
                        <a:srgbClr val="0000ff"/>
                      </a:solidFill>
                      <a:latin typeface="Calibri"/>
                    </a:defRPr>
                  </a:pPr>
                </a:p>
              </c:txPr>
              <c:dLblPos val="t"/>
              <c:showLegendKey val="0"/>
              <c:showVal val="1"/>
              <c:showCatName val="0"/>
              <c:showSerName val="0"/>
              <c:showPercent val="0"/>
              <c:separator>; </c:separator>
            </c:dLbl>
            <c:dLbl>
              <c:idx val="3"/>
              <c:layout>
                <c:manualLayout>
                  <c:x val="-0.0124118476727785"/>
                  <c:y val="-0.033800406460584"/>
                </c:manualLayout>
              </c:layout>
              <c:numFmt formatCode="General" sourceLinked="0"/>
              <c:txPr>
                <a:bodyPr wrap="square"/>
                <a:lstStyle/>
                <a:p>
                  <a:pPr>
                    <a:defRPr b="1" sz="1000" spc="-1" strike="noStrike">
                      <a:solidFill>
                        <a:srgbClr val="0000ff"/>
                      </a:solidFill>
                      <a:latin typeface="Calibri"/>
                    </a:defRPr>
                  </a:pPr>
                </a:p>
              </c:txPr>
              <c:dLblPos val="t"/>
              <c:showLegendKey val="0"/>
              <c:showVal val="1"/>
              <c:showCatName val="0"/>
              <c:showSerName val="0"/>
              <c:showPercent val="0"/>
              <c:separator>; </c:separator>
            </c:dLbl>
            <c:txPr>
              <a:bodyPr wrap="square"/>
              <a:lstStyle/>
              <a:p>
                <a:pPr>
                  <a:defRPr b="1" sz="1000" spc="-1" strike="noStrike">
                    <a:solidFill>
                      <a:srgbClr val="0000ff"/>
                    </a:solidFill>
                    <a:latin typeface="Calibri"/>
                    <a:ea typeface="DejaVu Sans"/>
                  </a:defRPr>
                </a:pPr>
              </a:p>
            </c:txPr>
            <c:dLblPos val="t"/>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14469</c:v>
                </c:pt>
                <c:pt idx="1">
                  <c:v>12992</c:v>
                </c:pt>
                <c:pt idx="2">
                  <c:v>14050</c:v>
                </c:pt>
                <c:pt idx="3">
                  <c:v>25158</c:v>
                </c:pt>
                <c:pt idx="4">
                  <c:v>27444</c:v>
                </c:pt>
                <c:pt idx="5">
                  <c:v>28502</c:v>
                </c:pt>
                <c:pt idx="6">
                  <c:v>29345</c:v>
                </c:pt>
                <c:pt idx="7">
                  <c:v>31744</c:v>
                </c:pt>
              </c:numCache>
            </c:numRef>
          </c:val>
          <c:smooth val="0"/>
        </c:ser>
        <c:ser>
          <c:idx val="1"/>
          <c:order val="1"/>
          <c:tx>
            <c:strRef>
              <c:f>label 1</c:f>
              <c:strCache>
                <c:ptCount val="1"/>
                <c:pt idx="0">
                  <c:v>Кількість ЮО, од.</c:v>
                </c:pt>
              </c:strCache>
            </c:strRef>
          </c:tx>
          <c:spPr>
            <a:solidFill>
              <a:srgbClr val="ff420e"/>
            </a:solidFill>
            <a:ln w="28800">
              <a:solidFill>
                <a:srgbClr val="ff420e"/>
              </a:solidFill>
              <a:round/>
            </a:ln>
          </c:spPr>
          <c:marker>
            <c:symbol val="diamond"/>
            <c:size val="8"/>
            <c:spPr>
              <a:solidFill>
                <a:srgbClr val="ff420e"/>
              </a:solidFill>
            </c:spPr>
          </c:marker>
          <c:dPt>
            <c:idx val="0"/>
            <c:marker>
              <c:symbol val="diamond"/>
              <c:size val="8"/>
              <c:spPr>
                <a:solidFill>
                  <a:srgbClr val="ff420e"/>
                </a:solidFill>
              </c:spPr>
            </c:marker>
          </c:dPt>
          <c:dPt>
            <c:idx val="1"/>
            <c:marker>
              <c:symbol val="diamond"/>
              <c:size val="8"/>
              <c:spPr>
                <a:solidFill>
                  <a:srgbClr val="ff420e"/>
                </a:solidFill>
              </c:spPr>
            </c:marker>
          </c:dPt>
          <c:dPt>
            <c:idx val="2"/>
            <c:marker>
              <c:symbol val="diamond"/>
              <c:size val="8"/>
              <c:spPr>
                <a:solidFill>
                  <a:srgbClr val="ff420e"/>
                </a:solidFill>
              </c:spPr>
            </c:marker>
          </c:dPt>
          <c:dPt>
            <c:idx val="4"/>
            <c:marker>
              <c:symbol val="diamond"/>
              <c:size val="8"/>
              <c:spPr>
                <a:solidFill>
                  <a:srgbClr val="ff420e"/>
                </a:solidFill>
              </c:spPr>
            </c:marker>
          </c:dPt>
          <c:dPt>
            <c:idx val="5"/>
            <c:marker>
              <c:symbol val="diamond"/>
              <c:size val="8"/>
              <c:spPr>
                <a:solidFill>
                  <a:srgbClr val="ff420e"/>
                </a:solidFill>
              </c:spPr>
            </c:marker>
          </c:dPt>
          <c:dPt>
            <c:idx val="6"/>
            <c:marker>
              <c:symbol val="diamond"/>
              <c:size val="8"/>
              <c:spPr>
                <a:solidFill>
                  <a:srgbClr val="ff420e"/>
                </a:solidFill>
              </c:spPr>
            </c:marker>
          </c:dPt>
          <c:dLbls>
            <c:numFmt formatCode="General" sourceLinked="0"/>
            <c:dLbl>
              <c:idx val="0"/>
              <c:layout>
                <c:manualLayout>
                  <c:x val="0.00987306064880114"/>
                  <c:y val="-0.0601133811102792"/>
                </c:manualLayout>
              </c:layout>
              <c:numFmt formatCode="General" sourceLinked="0"/>
              <c:txPr>
                <a:bodyPr wrap="none"/>
                <a:lstStyle/>
                <a:p>
                  <a:pPr>
                    <a:defRPr b="0" sz="1000" spc="-1" strike="noStrike">
                      <a:solidFill>
                        <a:srgbClr val="000000"/>
                      </a:solidFill>
                      <a:latin typeface="Calibri"/>
                    </a:defRPr>
                  </a:pPr>
                </a:p>
              </c:txPr>
              <c:dLblPos val="r"/>
              <c:showLegendKey val="0"/>
              <c:showVal val="1"/>
              <c:showCatName val="0"/>
              <c:showSerName val="0"/>
              <c:showPercent val="0"/>
              <c:separator> </c:separator>
            </c:dLbl>
            <c:dLbl>
              <c:idx val="1"/>
              <c:layout>
                <c:manualLayout>
                  <c:x val="-0.014950634696756"/>
                  <c:y val="0.0375441223660284"/>
                </c:manualLayout>
              </c:layout>
              <c:numFmt formatCode="General" sourceLinked="0"/>
              <c:txPr>
                <a:bodyPr wrap="none"/>
                <a:lstStyle/>
                <a:p>
                  <a:pPr>
                    <a:defRPr b="0" sz="1000" spc="-1" strike="noStrike">
                      <a:solidFill>
                        <a:srgbClr val="000000"/>
                      </a:solidFill>
                      <a:latin typeface="Calibri"/>
                    </a:defRPr>
                  </a:pPr>
                </a:p>
              </c:txPr>
              <c:dLblPos val="r"/>
              <c:showLegendKey val="0"/>
              <c:showVal val="1"/>
              <c:showCatName val="0"/>
              <c:showSerName val="0"/>
              <c:showPercent val="0"/>
              <c:separator> </c:separator>
            </c:dLbl>
            <c:dLbl>
              <c:idx val="2"/>
              <c:layout>
                <c:manualLayout>
                  <c:x val="0.00246826516220028"/>
                  <c:y val="0.048882233393946"/>
                </c:manualLayout>
              </c:layout>
              <c:numFmt formatCode="General" sourceLinked="0"/>
              <c:txPr>
                <a:bodyPr wrap="none"/>
                <a:lstStyle/>
                <a:p>
                  <a:pPr>
                    <a:defRPr b="0" sz="1000" spc="-1" strike="noStrike">
                      <a:solidFill>
                        <a:srgbClr val="000000"/>
                      </a:solidFill>
                      <a:latin typeface="Calibri"/>
                    </a:defRPr>
                  </a:pPr>
                </a:p>
              </c:txPr>
              <c:dLblPos val="r"/>
              <c:showLegendKey val="0"/>
              <c:showVal val="1"/>
              <c:showCatName val="0"/>
              <c:showSerName val="0"/>
              <c:showPercent val="0"/>
              <c:separator> </c:separator>
            </c:dLbl>
            <c:dLbl>
              <c:idx val="4"/>
              <c:layout>
                <c:manualLayout>
                  <c:x val="-0.0297602256699577"/>
                  <c:y val="0.0713445288266125"/>
                </c:manualLayout>
              </c:layout>
              <c:numFmt formatCode="General" sourceLinked="0"/>
              <c:txPr>
                <a:bodyPr wrap="none"/>
                <a:lstStyle/>
                <a:p>
                  <a:pPr>
                    <a:defRPr b="0" sz="1000" spc="-1" strike="noStrike">
                      <a:solidFill>
                        <a:srgbClr val="000000"/>
                      </a:solidFill>
                      <a:latin typeface="Calibri"/>
                    </a:defRPr>
                  </a:pPr>
                </a:p>
              </c:txPr>
              <c:dLblPos val="r"/>
              <c:showLegendKey val="0"/>
              <c:showVal val="1"/>
              <c:showCatName val="0"/>
              <c:showSerName val="0"/>
              <c:showPercent val="0"/>
              <c:separator> </c:separator>
            </c:dLbl>
            <c:dLbl>
              <c:idx val="5"/>
              <c:layout>
                <c:manualLayout>
                  <c:x val="-0.0372355430183358"/>
                  <c:y val="0.0526259492993903"/>
                </c:manualLayout>
              </c:layout>
              <c:numFmt formatCode="General" sourceLinked="0"/>
              <c:txPr>
                <a:bodyPr wrap="none"/>
                <a:lstStyle/>
                <a:p>
                  <a:pPr>
                    <a:defRPr b="0" sz="1000" spc="-1" strike="noStrike">
                      <a:solidFill>
                        <a:srgbClr val="000000"/>
                      </a:solidFill>
                      <a:latin typeface="Calibri"/>
                    </a:defRPr>
                  </a:pPr>
                </a:p>
              </c:txPr>
              <c:dLblPos val="r"/>
              <c:showLegendKey val="0"/>
              <c:showVal val="1"/>
              <c:showCatName val="0"/>
              <c:showSerName val="0"/>
              <c:showPercent val="0"/>
              <c:separator> </c:separator>
            </c:dLbl>
            <c:dLbl>
              <c:idx val="6"/>
              <c:layout>
                <c:manualLayout>
                  <c:x val="-0.00850741339451775"/>
                  <c:y val="0.0706849494280505"/>
                </c:manualLayout>
              </c:layout>
              <c:numFmt formatCode="General" sourceLinked="0"/>
              <c:txPr>
                <a:bodyPr wrap="none"/>
                <a:lstStyle/>
                <a:p>
                  <a:pPr>
                    <a:defRPr b="0" sz="1000" spc="-1" strike="noStrike">
                      <a:solidFill>
                        <a:srgbClr val="000000"/>
                      </a:solidFill>
                      <a:latin typeface="Calibri"/>
                    </a:defRPr>
                  </a:pPr>
                </a:p>
              </c:txPr>
              <c:dLblPos val="r"/>
              <c:showLegendKey val="0"/>
              <c:showVal val="1"/>
              <c:showCatName val="0"/>
              <c:showSerName val="0"/>
              <c:showPercent val="0"/>
              <c:separator> </c:separator>
            </c:dLbl>
            <c:txPr>
              <a:bodyPr wrap="none"/>
              <a:lstStyle/>
              <a:p>
                <a:pPr>
                  <a:defRPr b="0" sz="1000" spc="-1" strike="noStrike">
                    <a:solidFill>
                      <a:srgbClr val="000000"/>
                    </a:solidFill>
                    <a:latin typeface="Calibri"/>
                    <a:ea typeface="DejaVu Sans"/>
                  </a:defRPr>
                </a:pPr>
              </a:p>
            </c:txPr>
            <c:dLblPos val="r"/>
            <c:showLegendKey val="0"/>
            <c:showVal val="1"/>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2745</c:v>
                </c:pt>
                <c:pt idx="1">
                  <c:v>2849</c:v>
                </c:pt>
                <c:pt idx="2">
                  <c:v>3094</c:v>
                </c:pt>
                <c:pt idx="3">
                  <c:v>12336</c:v>
                </c:pt>
                <c:pt idx="4">
                  <c:v>12919</c:v>
                </c:pt>
                <c:pt idx="5">
                  <c:v>13431</c:v>
                </c:pt>
                <c:pt idx="6">
                  <c:v>13673</c:v>
                </c:pt>
                <c:pt idx="7">
                  <c:v>14429</c:v>
                </c:pt>
              </c:numCache>
            </c:numRef>
          </c:val>
          <c:smooth val="0"/>
        </c:ser>
        <c:ser>
          <c:idx val="2"/>
          <c:order val="2"/>
          <c:tx>
            <c:strRef>
              <c:f>label 2</c:f>
              <c:strCache>
                <c:ptCount val="1"/>
                <c:pt idx="0">
                  <c:v>Кількість ФОП, од.</c:v>
                </c:pt>
              </c:strCache>
            </c:strRef>
          </c:tx>
          <c:spPr>
            <a:solidFill>
              <a:srgbClr val="ffd320"/>
            </a:solidFill>
            <a:ln w="28800">
              <a:solidFill>
                <a:srgbClr val="ffd320"/>
              </a:solidFill>
              <a:round/>
            </a:ln>
          </c:spPr>
          <c:marker>
            <c:symbol val="triangle"/>
            <c:size val="8"/>
            <c:spPr>
              <a:solidFill>
                <a:srgbClr val="ffd320"/>
              </a:solidFill>
            </c:spPr>
          </c:marker>
          <c:dPt>
            <c:idx val="0"/>
            <c:marker>
              <c:symbol val="triangle"/>
              <c:size val="8"/>
              <c:spPr>
                <a:solidFill>
                  <a:srgbClr val="ffd320"/>
                </a:solidFill>
              </c:spPr>
            </c:marker>
          </c:dPt>
          <c:dPt>
            <c:idx val="1"/>
            <c:marker>
              <c:symbol val="triangle"/>
              <c:size val="8"/>
              <c:spPr>
                <a:solidFill>
                  <a:srgbClr val="ffd320"/>
                </a:solidFill>
              </c:spPr>
            </c:marker>
          </c:dPt>
          <c:dPt>
            <c:idx val="2"/>
            <c:marker>
              <c:symbol val="triangle"/>
              <c:size val="8"/>
              <c:spPr>
                <a:solidFill>
                  <a:srgbClr val="ffd320"/>
                </a:solidFill>
              </c:spPr>
            </c:marker>
          </c:dPt>
          <c:dPt>
            <c:idx val="3"/>
            <c:marker>
              <c:symbol val="triangle"/>
              <c:size val="8"/>
              <c:spPr>
                <a:solidFill>
                  <a:srgbClr val="ffd320"/>
                </a:solidFill>
              </c:spPr>
            </c:marker>
          </c:dPt>
          <c:dLbls>
            <c:numFmt formatCode="General" sourceLinked="0"/>
            <c:dLbl>
              <c:idx val="0"/>
              <c:layout>
                <c:manualLayout>
                  <c:x val="0.0497576084029088"/>
                  <c:y val="0.106353269723063"/>
                </c:manualLayout>
              </c:layout>
              <c:numFmt formatCode="General" sourceLinked="0"/>
              <c:txPr>
                <a:bodyPr wrap="none"/>
                <a:lstStyle/>
                <a:p>
                  <a:pPr>
                    <a:defRPr b="0" sz="1000" spc="-1" strike="noStrike">
                      <a:solidFill>
                        <a:srgbClr val="fe7f00"/>
                      </a:solidFill>
                      <a:latin typeface="Calibri"/>
                    </a:defRPr>
                  </a:pPr>
                </a:p>
              </c:txPr>
              <c:dLblPos val="t"/>
              <c:showLegendKey val="0"/>
              <c:showVal val="1"/>
              <c:showCatName val="0"/>
              <c:showSerName val="0"/>
              <c:showPercent val="0"/>
              <c:separator> </c:separator>
            </c:dLbl>
            <c:dLbl>
              <c:idx val="1"/>
              <c:layout>
                <c:manualLayout>
                  <c:x val="0"/>
                  <c:y val="0.114149406562718"/>
                </c:manualLayout>
              </c:layout>
              <c:numFmt formatCode="General" sourceLinked="0"/>
              <c:txPr>
                <a:bodyPr wrap="none"/>
                <a:lstStyle/>
                <a:p>
                  <a:pPr>
                    <a:defRPr b="0" sz="1000" spc="-1" strike="noStrike">
                      <a:solidFill>
                        <a:srgbClr val="fe7f00"/>
                      </a:solidFill>
                      <a:latin typeface="Calibri"/>
                    </a:defRPr>
                  </a:pPr>
                </a:p>
              </c:txPr>
              <c:dLblPos val="t"/>
              <c:showLegendKey val="0"/>
              <c:showVal val="1"/>
              <c:showCatName val="0"/>
              <c:showSerName val="0"/>
              <c:showPercent val="0"/>
              <c:separator> </c:separator>
            </c:dLbl>
            <c:dLbl>
              <c:idx val="2"/>
              <c:layout>
                <c:manualLayout>
                  <c:x val="0"/>
                  <c:y val="0.114731207819409"/>
                </c:manualLayout>
              </c:layout>
              <c:numFmt formatCode="General" sourceLinked="0"/>
              <c:txPr>
                <a:bodyPr wrap="none"/>
                <a:lstStyle/>
                <a:p>
                  <a:pPr>
                    <a:defRPr b="0" sz="1000" spc="-1" strike="noStrike">
                      <a:solidFill>
                        <a:srgbClr val="fe7f00"/>
                      </a:solidFill>
                      <a:latin typeface="Calibri"/>
                    </a:defRPr>
                  </a:pPr>
                </a:p>
              </c:txPr>
              <c:dLblPos val="t"/>
              <c:showLegendKey val="0"/>
              <c:showVal val="1"/>
              <c:showCatName val="0"/>
              <c:showSerName val="0"/>
              <c:showPercent val="0"/>
              <c:separator> </c:separator>
            </c:dLbl>
            <c:dLbl>
              <c:idx val="3"/>
              <c:layout>
                <c:manualLayout>
                  <c:x val="0"/>
                  <c:y val="0.0940207508824474"/>
                </c:manualLayout>
              </c:layout>
              <c:numFmt formatCode="General" sourceLinked="0"/>
              <c:txPr>
                <a:bodyPr wrap="none"/>
                <a:lstStyle/>
                <a:p>
                  <a:pPr>
                    <a:defRPr b="0" sz="1000" spc="-1" strike="noStrike">
                      <a:solidFill>
                        <a:srgbClr val="fe7f00"/>
                      </a:solidFill>
                      <a:latin typeface="Calibri"/>
                    </a:defRPr>
                  </a:pPr>
                </a:p>
              </c:txPr>
              <c:dLblPos val="t"/>
              <c:showLegendKey val="0"/>
              <c:showVal val="1"/>
              <c:showCatName val="0"/>
              <c:showSerName val="0"/>
              <c:showPercent val="0"/>
              <c:separator> </c:separator>
            </c:dLbl>
            <c:txPr>
              <a:bodyPr wrap="none"/>
              <a:lstStyle/>
              <a:p>
                <a:pPr>
                  <a:defRPr b="0" sz="1000" spc="-1" strike="noStrike">
                    <a:solidFill>
                      <a:srgbClr val="fe7f00"/>
                    </a:solidFill>
                    <a:latin typeface="Calibri"/>
                    <a:ea typeface="DejaVu Sans"/>
                  </a:defRPr>
                </a:pPr>
              </a:p>
            </c:txPr>
            <c:dLblPos val="t"/>
            <c:showLegendKey val="0"/>
            <c:showVal val="1"/>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11724</c:v>
                </c:pt>
                <c:pt idx="1">
                  <c:v>10143</c:v>
                </c:pt>
                <c:pt idx="2">
                  <c:v>10956</c:v>
                </c:pt>
                <c:pt idx="3">
                  <c:v>12822</c:v>
                </c:pt>
                <c:pt idx="4">
                  <c:v>14525</c:v>
                </c:pt>
                <c:pt idx="5">
                  <c:v>15071</c:v>
                </c:pt>
                <c:pt idx="6">
                  <c:v>15672</c:v>
                </c:pt>
                <c:pt idx="7">
                  <c:v>17315</c:v>
                </c:pt>
              </c:numCache>
            </c:numRef>
          </c:val>
          <c:smooth val="0"/>
        </c:ser>
        <c:hiLowLines>
          <c:spPr>
            <a:ln w="0">
              <a:noFill/>
            </a:ln>
          </c:spPr>
        </c:hiLowLines>
        <c:marker val="1"/>
        <c:axId val="72394902"/>
        <c:axId val="7804082"/>
      </c:lineChart>
      <c:catAx>
        <c:axId val="72394902"/>
        <c:scaling>
          <c:orientation val="minMax"/>
        </c:scaling>
        <c:delete val="0"/>
        <c:axPos val="b"/>
        <c:majorGridlines>
          <c:spPr>
            <a:ln w="0">
              <a:solidFill>
                <a:srgbClr val="b3b3b3"/>
              </a:solidFill>
            </a:ln>
          </c:spPr>
        </c:majorGridlines>
        <c:numFmt formatCode="General" sourceLinked="0"/>
        <c:majorTickMark val="out"/>
        <c:minorTickMark val="none"/>
        <c:tickLblPos val="nextTo"/>
        <c:spPr>
          <a:ln w="9360">
            <a:solidFill>
              <a:srgbClr val="878787"/>
            </a:solidFill>
            <a:round/>
          </a:ln>
        </c:spPr>
        <c:txPr>
          <a:bodyPr/>
          <a:lstStyle/>
          <a:p>
            <a:pPr>
              <a:defRPr b="0" sz="1000" spc="-1" strike="noStrike">
                <a:solidFill>
                  <a:srgbClr val="000000"/>
                </a:solidFill>
                <a:latin typeface="Calibri"/>
                <a:ea typeface="DejaVu Sans"/>
              </a:defRPr>
            </a:pPr>
          </a:p>
        </c:txPr>
        <c:crossAx val="7804082"/>
        <c:crosses val="autoZero"/>
        <c:auto val="1"/>
        <c:lblAlgn val="ctr"/>
        <c:lblOffset val="100"/>
        <c:noMultiLvlLbl val="0"/>
      </c:catAx>
      <c:valAx>
        <c:axId val="7804082"/>
        <c:scaling>
          <c:orientation val="minMax"/>
        </c:scaling>
        <c:delete val="0"/>
        <c:axPos val="l"/>
        <c:majorGridlines>
          <c:spPr>
            <a:ln w="9360">
              <a:solidFill>
                <a:srgbClr val="878787"/>
              </a:solidFill>
              <a:round/>
            </a:ln>
          </c:spPr>
        </c:majorGridlines>
        <c:numFmt formatCode="General" sourceLinked="0"/>
        <c:majorTickMark val="out"/>
        <c:minorTickMark val="none"/>
        <c:tickLblPos val="nextTo"/>
        <c:spPr>
          <a:ln w="9360">
            <a:solidFill>
              <a:srgbClr val="878787"/>
            </a:solidFill>
            <a:round/>
          </a:ln>
        </c:spPr>
        <c:txPr>
          <a:bodyPr/>
          <a:lstStyle/>
          <a:p>
            <a:pPr>
              <a:defRPr b="0" sz="1000" spc="-1" strike="noStrike">
                <a:solidFill>
                  <a:srgbClr val="000000"/>
                </a:solidFill>
                <a:latin typeface="Calibri"/>
                <a:ea typeface="DejaVu Sans"/>
              </a:defRPr>
            </a:pPr>
          </a:p>
        </c:txPr>
        <c:crossAx val="72394902"/>
        <c:crossesAt val="1"/>
        <c:crossBetween val="midCat"/>
      </c:valAx>
      <c:spPr>
        <a:noFill/>
        <a:ln w="0">
          <a:noFill/>
        </a:ln>
      </c:spPr>
    </c:plotArea>
    <c:legend>
      <c:legendPos val="b"/>
      <c:layout>
        <c:manualLayout>
          <c:xMode val="edge"/>
          <c:yMode val="edge"/>
          <c:x val="0.0498125"/>
          <c:y val="0.914"/>
          <c:w val="0.900181261328833"/>
          <c:h val="0.0794532725858429"/>
        </c:manualLayout>
      </c:layout>
      <c:overlay val="0"/>
      <c:spPr>
        <a:noFill/>
        <a:ln w="0">
          <a:noFill/>
        </a:ln>
      </c:spPr>
      <c:txPr>
        <a:bodyPr/>
        <a:lstStyle/>
        <a:p>
          <a:pPr>
            <a:defRPr b="0" sz="800" spc="-1" strike="noStrike">
              <a:solidFill>
                <a:srgbClr val="000000"/>
              </a:solidFill>
              <a:latin typeface="Calibri"/>
              <a:ea typeface="DejaVu Sans"/>
            </a:defRPr>
          </a:pPr>
        </a:p>
      </c:txPr>
    </c:legend>
    <c:plotVisOnly val="1"/>
    <c:dispBlanksAs val="gap"/>
  </c:chart>
  <c:spPr>
    <a:solidFill>
      <a:srgbClr val="ffffff"/>
    </a:solidFill>
    <a:ln w="9360">
      <a:solidFill>
        <a:srgbClr val="d9d9d9"/>
      </a:solidFill>
      <a:round/>
    </a:ln>
  </c:spPr>
</c:chartSpace>
</file>

<file path=word/charts/chart24.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Теплова енергія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63848.7</c:v>
                </c:pt>
                <c:pt idx="1">
                  <c:v>62220.5</c:v>
                </c:pt>
                <c:pt idx="2">
                  <c:v>54544.7</c:v>
                </c:pt>
                <c:pt idx="3">
                  <c:v>57219.6</c:v>
                </c:pt>
                <c:pt idx="4">
                  <c:v>49543.8</c:v>
                </c:pt>
                <c:pt idx="5">
                  <c:v>48497.1</c:v>
                </c:pt>
                <c:pt idx="6">
                  <c:v>47101.5</c:v>
                </c:pt>
                <c:pt idx="7">
                  <c:v>48697.7</c:v>
                </c:pt>
              </c:numCache>
            </c:numRef>
          </c:val>
        </c:ser>
        <c:ser>
          <c:idx val="1"/>
          <c:order val="1"/>
          <c:tx>
            <c:strRef>
              <c:f>label 1</c:f>
              <c:strCache>
                <c:ptCount val="1"/>
                <c:pt idx="0">
                  <c:v>Природний газ</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36651.89</c:v>
                </c:pt>
                <c:pt idx="1">
                  <c:v>32892.42</c:v>
                </c:pt>
                <c:pt idx="2">
                  <c:v>29124.96</c:v>
                </c:pt>
                <c:pt idx="3">
                  <c:v>27048.65</c:v>
                </c:pt>
                <c:pt idx="4">
                  <c:v>29128.63</c:v>
                </c:pt>
                <c:pt idx="5">
                  <c:v>23938.58</c:v>
                </c:pt>
                <c:pt idx="6">
                  <c:v>27544.91</c:v>
                </c:pt>
                <c:pt idx="7">
                  <c:v>27583.8</c:v>
                </c:pt>
              </c:numCache>
            </c:numRef>
          </c:val>
        </c:ser>
        <c:ser>
          <c:idx val="2"/>
          <c:order val="2"/>
          <c:tx>
            <c:strRef>
              <c:f>label 2</c:f>
              <c:strCache>
                <c:ptCount val="1"/>
                <c:pt idx="0">
                  <c:v>Електроенергія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25607</c:v>
                </c:pt>
                <c:pt idx="1">
                  <c:v>29821</c:v>
                </c:pt>
                <c:pt idx="2">
                  <c:v>28380</c:v>
                </c:pt>
                <c:pt idx="3">
                  <c:v>25006</c:v>
                </c:pt>
                <c:pt idx="4">
                  <c:v>30955</c:v>
                </c:pt>
                <c:pt idx="5">
                  <c:v>29762</c:v>
                </c:pt>
                <c:pt idx="6">
                  <c:v>26588</c:v>
                </c:pt>
                <c:pt idx="7">
                  <c:v>22122</c:v>
                </c:pt>
              </c:numCache>
            </c:numRef>
          </c:val>
        </c:ser>
        <c:ser>
          <c:idx val="3"/>
          <c:order val="3"/>
          <c:tx>
            <c:strRef>
              <c:f>label 3</c:f>
              <c:strCache>
                <c:ptCount val="1"/>
                <c:pt idx="0">
                  <c:v>Деревина</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0</c:v>
                </c:pt>
                <c:pt idx="1">
                  <c:v>0</c:v>
                </c:pt>
                <c:pt idx="2">
                  <c:v>0</c:v>
                </c:pt>
                <c:pt idx="3">
                  <c:v>0</c:v>
                </c:pt>
                <c:pt idx="4">
                  <c:v>589.59</c:v>
                </c:pt>
                <c:pt idx="5">
                  <c:v>791</c:v>
                </c:pt>
                <c:pt idx="6">
                  <c:v>1490.01</c:v>
                </c:pt>
                <c:pt idx="7">
                  <c:v>1712</c:v>
                </c:pt>
              </c:numCache>
            </c:numRef>
          </c:val>
        </c:ser>
        <c:gapWidth val="100"/>
        <c:overlap val="0"/>
        <c:axId val="57107190"/>
        <c:axId val="86416222"/>
      </c:barChart>
      <c:catAx>
        <c:axId val="57107190"/>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86416222"/>
        <c:crosses val="autoZero"/>
        <c:auto val="1"/>
        <c:lblAlgn val="ctr"/>
        <c:lblOffset val="100"/>
        <c:noMultiLvlLbl val="0"/>
      </c:catAx>
      <c:valAx>
        <c:axId val="86416222"/>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57107190"/>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25.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2017</a:t>
            </a:r>
          </a:p>
        </c:rich>
      </c:tx>
      <c:overlay val="0"/>
      <c:spPr>
        <a:noFill/>
        <a:ln w="0">
          <a:noFill/>
        </a:ln>
      </c:spPr>
    </c:title>
    <c:autoTitleDeleted val="0"/>
    <c:plotArea>
      <c:pieChart>
        <c:varyColors val="1"/>
        <c:ser>
          <c:idx val="0"/>
          <c:order val="0"/>
          <c:tx>
            <c:strRef>
              <c:f>label 0</c:f>
              <c:strCache>
                <c:ptCount val="1"/>
                <c:pt idx="0">
                  <c:v>Стовпчик B</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Pt>
            <c:idx val="3"/>
            <c:spPr>
              <a:solidFill>
                <a:srgbClr val="579d1c"/>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4"/>
                <c:pt idx="0">
                  <c:v>Теплова енергія</c:v>
                </c:pt>
                <c:pt idx="1">
                  <c:v>Природний газ</c:v>
                </c:pt>
                <c:pt idx="2">
                  <c:v>Електроенергія</c:v>
                </c:pt>
                <c:pt idx="3">
                  <c:v>Деревина</c:v>
                </c:pt>
              </c:strCache>
            </c:strRef>
          </c:cat>
          <c:val>
            <c:numRef>
              <c:f>0</c:f>
              <c:numCache>
                <c:formatCode>General</c:formatCode>
                <c:ptCount val="4"/>
                <c:pt idx="0">
                  <c:v>63848.7</c:v>
                </c:pt>
                <c:pt idx="1">
                  <c:v>36651.89</c:v>
                </c:pt>
                <c:pt idx="2">
                  <c:v>25607</c:v>
                </c:pt>
                <c:pt idx="3">
                  <c:v>0</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26.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2024</a:t>
            </a:r>
          </a:p>
        </c:rich>
      </c:tx>
      <c:overlay val="0"/>
      <c:spPr>
        <a:noFill/>
        <a:ln w="0">
          <a:noFill/>
        </a:ln>
      </c:spPr>
    </c:title>
    <c:autoTitleDeleted val="0"/>
    <c:plotArea>
      <c:pieChart>
        <c:varyColors val="1"/>
        <c:ser>
          <c:idx val="0"/>
          <c:order val="0"/>
          <c:tx>
            <c:strRef>
              <c:f>label 0</c:f>
              <c:strCache>
                <c:ptCount val="1"/>
                <c:pt idx="0">
                  <c:v>Стовпчик I</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Pt>
            <c:idx val="3"/>
            <c:spPr>
              <a:solidFill>
                <a:srgbClr val="579d1c"/>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4"/>
                <c:pt idx="0">
                  <c:v>Теплова енергія</c:v>
                </c:pt>
                <c:pt idx="1">
                  <c:v>Природний газ</c:v>
                </c:pt>
                <c:pt idx="2">
                  <c:v>Електроенергія</c:v>
                </c:pt>
                <c:pt idx="3">
                  <c:v>Деревина</c:v>
                </c:pt>
              </c:strCache>
            </c:strRef>
          </c:cat>
          <c:val>
            <c:numRef>
              <c:f>0</c:f>
              <c:numCache>
                <c:formatCode>General</c:formatCode>
                <c:ptCount val="4"/>
                <c:pt idx="0">
                  <c:v>48697.7</c:v>
                </c:pt>
                <c:pt idx="1">
                  <c:v>27583.8</c:v>
                </c:pt>
                <c:pt idx="2">
                  <c:v>22121.7</c:v>
                </c:pt>
                <c:pt idx="3">
                  <c:v>1712</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27.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Загальна кількість води, що надана споживачеві, тис. м3</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11316.1</c:v>
                </c:pt>
                <c:pt idx="1">
                  <c:v>11272</c:v>
                </c:pt>
                <c:pt idx="2">
                  <c:v>10879.2</c:v>
                </c:pt>
                <c:pt idx="3">
                  <c:v>11435.6</c:v>
                </c:pt>
                <c:pt idx="4">
                  <c:v>10892</c:v>
                </c:pt>
                <c:pt idx="5">
                  <c:v>9993</c:v>
                </c:pt>
                <c:pt idx="6">
                  <c:v>10302.4</c:v>
                </c:pt>
                <c:pt idx="7">
                  <c:v>10410</c:v>
                </c:pt>
              </c:numCache>
            </c:numRef>
          </c:val>
        </c:ser>
        <c:ser>
          <c:idx val="1"/>
          <c:order val="1"/>
          <c:tx>
            <c:strRef>
              <c:f>label 1</c:f>
              <c:strCache>
                <c:ptCount val="1"/>
                <c:pt idx="0">
                  <c:v>Загальна кількість виробленої питної води, тис. м3 </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15417.4</c:v>
                </c:pt>
                <c:pt idx="1">
                  <c:v>16676.4</c:v>
                </c:pt>
                <c:pt idx="2">
                  <c:v>15735</c:v>
                </c:pt>
                <c:pt idx="3">
                  <c:v>15431.2</c:v>
                </c:pt>
                <c:pt idx="4">
                  <c:v>15418.2</c:v>
                </c:pt>
                <c:pt idx="5">
                  <c:v>15234.1</c:v>
                </c:pt>
                <c:pt idx="6">
                  <c:v>16041</c:v>
                </c:pt>
                <c:pt idx="7">
                  <c:v>16692.5</c:v>
                </c:pt>
              </c:numCache>
            </c:numRef>
          </c:val>
        </c:ser>
        <c:gapWidth val="100"/>
        <c:overlap val="0"/>
        <c:axId val="6117991"/>
        <c:axId val="93495351"/>
      </c:barChart>
      <c:catAx>
        <c:axId val="6117991"/>
        <c:scaling>
          <c:orientation val="minMax"/>
        </c:scaling>
        <c:delete val="0"/>
        <c:axPos val="b"/>
        <c:numFmt formatCode="[$-422]dd/mm/yyyy"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93495351"/>
        <c:crosses val="autoZero"/>
        <c:auto val="1"/>
        <c:lblAlgn val="ctr"/>
        <c:lblOffset val="100"/>
        <c:noMultiLvlLbl val="0"/>
      </c:catAx>
      <c:valAx>
        <c:axId val="93495351"/>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6117991"/>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noFill/>
    <a:ln w="0">
      <a:noFill/>
    </a:ln>
  </c:spPr>
</c:chartSpace>
</file>

<file path=word/charts/chart28.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Водопостачання</a:t>
            </a:r>
          </a:p>
        </c:rich>
      </c:tx>
      <c:overlay val="0"/>
      <c:spPr>
        <a:noFill/>
        <a:ln w="0">
          <a:noFill/>
        </a:ln>
      </c:spPr>
    </c:title>
    <c:autoTitleDeleted val="0"/>
    <c:plotArea>
      <c:pieChart>
        <c:varyColors val="1"/>
        <c:ser>
          <c:idx val="0"/>
          <c:order val="0"/>
          <c:tx>
            <c:strRef>
              <c:f>label 0</c:f>
              <c:strCache>
                <c:ptCount val="1"/>
                <c:pt idx="0">
                  <c:v>Стовпчик K</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3"/>
                <c:pt idx="0">
                  <c:v>Населення</c:v>
                </c:pt>
                <c:pt idx="1">
                  <c:v>Заклади бюджетної сфери</c:v>
                </c:pt>
                <c:pt idx="2">
                  <c:v>Промислові та інші підприємства</c:v>
                </c:pt>
              </c:strCache>
            </c:strRef>
          </c:cat>
          <c:val>
            <c:numRef>
              <c:f>0</c:f>
              <c:numCache>
                <c:formatCode>General</c:formatCode>
                <c:ptCount val="3"/>
                <c:pt idx="0">
                  <c:v>7226.7</c:v>
                </c:pt>
                <c:pt idx="1">
                  <c:v>570.4</c:v>
                </c:pt>
                <c:pt idx="2">
                  <c:v>2613.8</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29.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Водовідведення</a:t>
            </a:r>
          </a:p>
        </c:rich>
      </c:tx>
      <c:overlay val="0"/>
      <c:spPr>
        <a:noFill/>
        <a:ln w="0">
          <a:noFill/>
        </a:ln>
      </c:spPr>
    </c:title>
    <c:autoTitleDeleted val="0"/>
    <c:plotArea>
      <c:pieChart>
        <c:varyColors val="1"/>
        <c:ser>
          <c:idx val="0"/>
          <c:order val="0"/>
          <c:tx>
            <c:strRef>
              <c:f>label 0</c:f>
              <c:strCache>
                <c:ptCount val="1"/>
                <c:pt idx="0">
                  <c:v>Стовпчик K</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3"/>
                <c:pt idx="0">
                  <c:v>Населення</c:v>
                </c:pt>
                <c:pt idx="1">
                  <c:v>Заклади бюджетної сфери</c:v>
                </c:pt>
                <c:pt idx="2">
                  <c:v>Промислові та інші підприємства</c:v>
                </c:pt>
              </c:strCache>
            </c:strRef>
          </c:cat>
          <c:val>
            <c:numRef>
              <c:f>0</c:f>
              <c:numCache>
                <c:formatCode>General</c:formatCode>
                <c:ptCount val="3"/>
                <c:pt idx="0">
                  <c:v>6829.3</c:v>
                </c:pt>
                <c:pt idx="1">
                  <c:v>957.7</c:v>
                </c:pt>
                <c:pt idx="2">
                  <c:v>1917.9</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30.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Водопостачання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11478.7</c:v>
                </c:pt>
                <c:pt idx="1">
                  <c:v>11448.5</c:v>
                </c:pt>
                <c:pt idx="2">
                  <c:v>11067</c:v>
                </c:pt>
                <c:pt idx="3">
                  <c:v>11435.6</c:v>
                </c:pt>
                <c:pt idx="4">
                  <c:v>11086.2</c:v>
                </c:pt>
                <c:pt idx="5">
                  <c:v>9993</c:v>
                </c:pt>
                <c:pt idx="6">
                  <c:v>10302.4</c:v>
                </c:pt>
                <c:pt idx="7">
                  <c:v>10410.9</c:v>
                </c:pt>
              </c:numCache>
            </c:numRef>
          </c:val>
        </c:ser>
        <c:ser>
          <c:idx val="1"/>
          <c:order val="1"/>
          <c:tx>
            <c:strRef>
              <c:f>label 1</c:f>
              <c:strCache>
                <c:ptCount val="1"/>
                <c:pt idx="0">
                  <c:v>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10904.5</c:v>
                </c:pt>
                <c:pt idx="1">
                  <c:v>10293.1</c:v>
                </c:pt>
                <c:pt idx="2">
                  <c:v>10277.1</c:v>
                </c:pt>
                <c:pt idx="3">
                  <c:v>10367.4</c:v>
                </c:pt>
                <c:pt idx="4">
                  <c:v>10304.8</c:v>
                </c:pt>
                <c:pt idx="5">
                  <c:v>9239.9</c:v>
                </c:pt>
                <c:pt idx="6">
                  <c:v>9752.9</c:v>
                </c:pt>
                <c:pt idx="7">
                  <c:v>9704.79999999999</c:v>
                </c:pt>
              </c:numCache>
            </c:numRef>
          </c:val>
        </c:ser>
        <c:gapWidth val="100"/>
        <c:overlap val="0"/>
        <c:axId val="13833762"/>
        <c:axId val="72566373"/>
      </c:barChart>
      <c:catAx>
        <c:axId val="13833762"/>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2566373"/>
        <c:crosses val="autoZero"/>
        <c:auto val="1"/>
        <c:lblAlgn val="ctr"/>
        <c:lblOffset val="100"/>
        <c:noMultiLvlLbl val="0"/>
      </c:catAx>
      <c:valAx>
        <c:axId val="72566373"/>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3833762"/>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3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водопостачання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5"/>
                <c:pt idx="0">
                  <c:v>2017</c:v>
                </c:pt>
                <c:pt idx="1">
                  <c:v>2020</c:v>
                </c:pt>
                <c:pt idx="2">
                  <c:v>2022</c:v>
                </c:pt>
                <c:pt idx="3">
                  <c:v>2023</c:v>
                </c:pt>
                <c:pt idx="4">
                  <c:v>2024</c:v>
                </c:pt>
              </c:strCache>
            </c:strRef>
          </c:cat>
          <c:val>
            <c:numRef>
              <c:f>0</c:f>
              <c:numCache>
                <c:formatCode>General</c:formatCode>
                <c:ptCount val="5"/>
                <c:pt idx="0">
                  <c:v>98885</c:v>
                </c:pt>
                <c:pt idx="1">
                  <c:v>90152</c:v>
                </c:pt>
                <c:pt idx="2">
                  <c:v>97835</c:v>
                </c:pt>
                <c:pt idx="3">
                  <c:v>96301</c:v>
                </c:pt>
                <c:pt idx="4">
                  <c:v>97843</c:v>
                </c:pt>
              </c:numCache>
            </c:numRef>
          </c:val>
        </c:ser>
        <c:ser>
          <c:idx val="1"/>
          <c:order val="1"/>
          <c:tx>
            <c:strRef>
              <c:f>label 1</c:f>
              <c:strCache>
                <c:ptCount val="1"/>
                <c:pt idx="0">
                  <c:v>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5"/>
                <c:pt idx="0">
                  <c:v>2017</c:v>
                </c:pt>
                <c:pt idx="1">
                  <c:v>2020</c:v>
                </c:pt>
                <c:pt idx="2">
                  <c:v>2022</c:v>
                </c:pt>
                <c:pt idx="3">
                  <c:v>2023</c:v>
                </c:pt>
                <c:pt idx="4">
                  <c:v>2024</c:v>
                </c:pt>
              </c:strCache>
            </c:strRef>
          </c:cat>
          <c:val>
            <c:numRef>
              <c:f>1</c:f>
              <c:numCache>
                <c:formatCode>General</c:formatCode>
                <c:ptCount val="5"/>
                <c:pt idx="0">
                  <c:v>88933</c:v>
                </c:pt>
                <c:pt idx="1">
                  <c:v>78081</c:v>
                </c:pt>
                <c:pt idx="2">
                  <c:v>85201</c:v>
                </c:pt>
                <c:pt idx="3">
                  <c:v>83416</c:v>
                </c:pt>
                <c:pt idx="4">
                  <c:v>84705</c:v>
                </c:pt>
              </c:numCache>
            </c:numRef>
          </c:val>
        </c:ser>
        <c:gapWidth val="100"/>
        <c:overlap val="0"/>
        <c:axId val="34168699"/>
        <c:axId val="76916959"/>
      </c:barChart>
      <c:catAx>
        <c:axId val="34168699"/>
        <c:scaling>
          <c:orientation val="minMax"/>
        </c:scaling>
        <c:delete val="0"/>
        <c:axPos val="b"/>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6916959"/>
        <c:crosses val="autoZero"/>
        <c:auto val="1"/>
        <c:lblAlgn val="ctr"/>
        <c:lblOffset val="100"/>
        <c:noMultiLvlLbl val="0"/>
      </c:catAx>
      <c:valAx>
        <c:axId val="76916959"/>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34168699"/>
        <c:crosses val="autoZero"/>
        <c:crossBetween val="between"/>
      </c:valAx>
      <c:spPr>
        <a:noFill/>
        <a:ln w="0">
          <a:solidFill>
            <a:srgbClr val="b3b3b3"/>
          </a:solidFill>
        </a:ln>
      </c:spPr>
    </c:plotArea>
    <c:legend>
      <c:legendPos val="b"/>
      <c:layout>
        <c:manualLayout>
          <c:xMode val="edge"/>
          <c:yMode val="edge"/>
          <c:x val="0.101"/>
          <c:y val="0.896"/>
          <c:w val="0.85305331583224"/>
          <c:h val="0.0662295810645627"/>
        </c:manualLayout>
      </c:layout>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32.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ineChart>
        <c:grouping val="standard"/>
        <c:varyColors val="0"/>
        <c:ser>
          <c:idx val="0"/>
          <c:order val="0"/>
          <c:tx>
            <c:strRef>
              <c:f>label 0</c:f>
              <c:strCache>
                <c:ptCount val="1"/>
                <c:pt idx="0">
                  <c:v>Електроенергія, МВт.год</c:v>
                </c:pt>
              </c:strCache>
            </c:strRef>
          </c:tx>
          <c:spPr>
            <a:solidFill>
              <a:srgbClr val="004586"/>
            </a:solidFill>
            <a:ln w="28800">
              <a:solidFill>
                <a:srgbClr val="004586"/>
              </a:solidFill>
              <a:round/>
            </a:ln>
          </c:spPr>
          <c:marker>
            <c:symbol val="square"/>
            <c:size val="8"/>
            <c:spPr>
              <a:solidFill>
                <a:srgbClr val="004586"/>
              </a:solidFill>
            </c:spPr>
          </c:marker>
          <c:dPt>
            <c:idx val="0"/>
            <c:marker>
              <c:symbol val="square"/>
              <c:size val="8"/>
              <c:spPr>
                <a:solidFill>
                  <a:srgbClr val="004586"/>
                </a:solidFill>
              </c:spPr>
            </c:marker>
          </c:dPt>
          <c:dLbls>
            <c:numFmt formatCode="General" sourceLinked="0"/>
            <c:dLbl>
              <c:idx val="0"/>
              <c:layout>
                <c:manualLayout>
                  <c:x val="0.0406956819739548"/>
                  <c:y val="-0.0641474935243029"/>
                </c:manualLayout>
              </c:layout>
              <c:numFmt formatCode="General" sourceLinked="0"/>
              <c:txPr>
                <a:bodyPr wrap="none"/>
                <a:lstStyle/>
                <a:p>
                  <a:pPr>
                    <a:defRPr b="0" sz="1000" spc="-1" strike="noStrike">
                      <a:solidFill>
                        <a:srgbClr val="000000"/>
                      </a:solidFill>
                      <a:latin typeface="Arial"/>
                    </a:defRPr>
                  </a:pPr>
                </a:p>
              </c:txPr>
              <c:dLblPos val="t"/>
              <c:showLegendKey val="0"/>
              <c:showVal val="1"/>
              <c:showCatName val="0"/>
              <c:showSerName val="0"/>
              <c:showPercent val="0"/>
              <c:separator> </c:separator>
            </c:dLbl>
            <c:txPr>
              <a:bodyPr wrap="none"/>
              <a:lstStyle/>
              <a:p>
                <a:pPr>
                  <a:defRPr b="0" sz="1000" spc="-1" strike="noStrike">
                    <a:solidFill>
                      <a:srgbClr val="000000"/>
                    </a:solidFill>
                    <a:latin typeface="Arial"/>
                    <a:ea typeface="DejaVu Sans"/>
                  </a:defRPr>
                </a:pPr>
              </a:p>
            </c:txPr>
            <c:dLblPos val="t"/>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3508</c:v>
                </c:pt>
                <c:pt idx="1">
                  <c:v>3465</c:v>
                </c:pt>
                <c:pt idx="2">
                  <c:v>3619</c:v>
                </c:pt>
                <c:pt idx="3">
                  <c:v>3936</c:v>
                </c:pt>
                <c:pt idx="4">
                  <c:v>4820</c:v>
                </c:pt>
                <c:pt idx="5">
                  <c:v>3528</c:v>
                </c:pt>
                <c:pt idx="6">
                  <c:v>3425</c:v>
                </c:pt>
                <c:pt idx="7">
                  <c:v>3932</c:v>
                </c:pt>
              </c:numCache>
            </c:numRef>
          </c:val>
          <c:smooth val="0"/>
        </c:ser>
        <c:hiLowLines>
          <c:spPr>
            <a:ln w="0">
              <a:noFill/>
            </a:ln>
          </c:spPr>
        </c:hiLowLines>
        <c:marker val="1"/>
        <c:axId val="57865222"/>
        <c:axId val="43718664"/>
      </c:lineChart>
      <c:catAx>
        <c:axId val="57865222"/>
        <c:scaling>
          <c:orientation val="minMax"/>
        </c:scaling>
        <c:delete val="0"/>
        <c:axPos val="b"/>
        <c:numFmt formatCode="General" sourceLinked="0"/>
        <c:majorTickMark val="out"/>
        <c:minorTickMark val="none"/>
        <c:tickLblPos val="nextTo"/>
        <c:spPr>
          <a:ln w="0">
            <a:solidFill>
              <a:srgbClr val="b3b3b3"/>
            </a:solidFill>
          </a:ln>
        </c:spPr>
        <c:txPr>
          <a:bodyPr rot="-3600000"/>
          <a:lstStyle/>
          <a:p>
            <a:pPr>
              <a:defRPr b="0" sz="1000" spc="-1" strike="noStrike">
                <a:solidFill>
                  <a:srgbClr val="000000"/>
                </a:solidFill>
                <a:latin typeface="Arial"/>
                <a:ea typeface="DejaVu Sans"/>
              </a:defRPr>
            </a:pPr>
          </a:p>
        </c:txPr>
        <c:crossAx val="43718664"/>
        <c:crosses val="autoZero"/>
        <c:auto val="1"/>
        <c:lblAlgn val="ctr"/>
        <c:lblOffset val="100"/>
        <c:noMultiLvlLbl val="0"/>
      </c:catAx>
      <c:valAx>
        <c:axId val="43718664"/>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57865222"/>
        <c:crosses val="autoZero"/>
        <c:crossBetween val="midCat"/>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33.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300" spc="-1" strike="noStrike">
                <a:solidFill>
                  <a:srgbClr val="000000"/>
                </a:solidFill>
                <a:latin typeface="Arial"/>
                <a:ea typeface="DejaVu Sans"/>
              </a:defRPr>
            </a:pPr>
            <a:r>
              <a:rPr b="0" lang="uk-UA" sz="1300" spc="-1" strike="noStrike">
                <a:solidFill>
                  <a:srgbClr val="000000"/>
                </a:solidFill>
                <a:latin typeface="Arial"/>
                <a:ea typeface="DejaVu Sans"/>
              </a:rPr>
              <a:t>2024 рік</a:t>
            </a:r>
          </a:p>
        </c:rich>
      </c:tx>
      <c:layout>
        <c:manualLayout>
          <c:xMode val="edge"/>
          <c:yMode val="edge"/>
          <c:x val="0.7524375"/>
          <c:y val="0.855333333333333"/>
        </c:manualLayout>
      </c:layout>
      <c:overlay val="0"/>
      <c:spPr>
        <a:noFill/>
        <a:ln w="0">
          <a:noFill/>
        </a:ln>
      </c:spPr>
    </c:title>
    <c:autoTitleDeleted val="0"/>
    <c:plotArea>
      <c:pieChart>
        <c:varyColors val="1"/>
        <c:ser>
          <c:idx val="0"/>
          <c:order val="0"/>
          <c:tx>
            <c:strRef>
              <c:f>label 0</c:f>
              <c:strCache>
                <c:ptCount val="1"/>
                <c:pt idx="0">
                  <c:v>Серія2</c:v>
                </c:pt>
              </c:strCache>
            </c:strRef>
          </c:tx>
          <c:spPr>
            <a:solidFill>
              <a:srgbClr val="c0504d"/>
            </a:solidFill>
            <a:ln w="0">
              <a:noFill/>
            </a:ln>
          </c:spPr>
          <c:explosion val="0"/>
          <c:dPt>
            <c:idx val="0"/>
            <c:spPr>
              <a:solidFill>
                <a:srgbClr val="4f81bd"/>
              </a:solidFill>
              <a:ln w="0">
                <a:noFill/>
              </a:ln>
            </c:spPr>
          </c:dPt>
          <c:dPt>
            <c:idx val="1"/>
            <c:spPr>
              <a:solidFill>
                <a:srgbClr val="c0504d"/>
              </a:solidFill>
              <a:ln w="0">
                <a:noFill/>
              </a:ln>
            </c:spPr>
          </c:dPt>
          <c:dPt>
            <c:idx val="2"/>
            <c:spPr>
              <a:solidFill>
                <a:srgbClr val="9bbb59"/>
              </a:solidFill>
              <a:ln w="0">
                <a:noFill/>
              </a:ln>
            </c:spPr>
          </c:dPt>
          <c:dPt>
            <c:idx val="3"/>
            <c:spPr>
              <a:solidFill>
                <a:srgbClr val="8064a2"/>
              </a:solidFill>
              <a:ln w="0">
                <a:noFill/>
              </a:ln>
            </c:spPr>
          </c:dPt>
          <c:dLbls>
            <c:dLbl>
              <c:idx val="0"/>
              <c:txPr>
                <a:bodyPr wrap="none"/>
                <a:lstStyle/>
                <a:p>
                  <a:pPr>
                    <a:defRPr b="0" sz="1000" spc="-1" strike="noStrike">
                      <a:solidFill>
                        <a:srgbClr val="000000"/>
                      </a:solidFill>
                      <a:latin typeface="Calibri"/>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Calibri"/>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Calibri"/>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Calibri"/>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Calibri"/>
                    <a:ea typeface="DejaVu Sans"/>
                  </a:defRPr>
                </a:pPr>
              </a:p>
            </c:txPr>
            <c:dLblPos val="bestFit"/>
            <c:showLegendKey val="0"/>
            <c:showVal val="0"/>
            <c:showCatName val="0"/>
            <c:showSerName val="0"/>
            <c:showPercent val="1"/>
            <c:separator>; </c:separator>
            <c:showLeaderLines val="1"/>
          </c:dLbls>
          <c:cat>
            <c:strRef>
              <c:f>categories</c:f>
              <c:strCache>
                <c:ptCount val="4"/>
                <c:pt idx="0">
                  <c:v>Лампи розжарювання</c:v>
                </c:pt>
                <c:pt idx="1">
                  <c:v>Ртутні лампи</c:v>
                </c:pt>
                <c:pt idx="2">
                  <c:v>Натрієві лампи</c:v>
                </c:pt>
                <c:pt idx="3">
                  <c:v>LED</c:v>
                </c:pt>
              </c:strCache>
            </c:strRef>
          </c:cat>
          <c:val>
            <c:numRef>
              <c:f>0</c:f>
              <c:numCache>
                <c:formatCode>General</c:formatCode>
                <c:ptCount val="4"/>
                <c:pt idx="0">
                  <c:v>442</c:v>
                </c:pt>
                <c:pt idx="1">
                  <c:v>1040</c:v>
                </c:pt>
                <c:pt idx="2">
                  <c:v>4658</c:v>
                </c:pt>
                <c:pt idx="3">
                  <c:v>5870</c:v>
                </c:pt>
              </c:numCache>
            </c:numRef>
          </c:val>
        </c:ser>
        <c:firstSliceAng val="0"/>
      </c:pieChart>
      <c:spPr>
        <a:noFill/>
        <a:ln w="25560">
          <a:noFill/>
        </a:ln>
      </c:spPr>
    </c:plotArea>
    <c:legend>
      <c:legendPos val="r"/>
      <c:layout>
        <c:manualLayout>
          <c:xMode val="edge"/>
          <c:yMode val="edge"/>
          <c:x val="0.5749375"/>
          <c:y val="0.252"/>
          <c:w val="0.378961185074067"/>
          <c:h val="0.620957884209357"/>
        </c:manualLayout>
      </c:layout>
      <c:overlay val="0"/>
      <c:spPr>
        <a:noFill/>
        <a:ln w="0">
          <a:noFill/>
        </a:ln>
      </c:spPr>
      <c:txPr>
        <a:bodyPr/>
        <a:lstStyle/>
        <a:p>
          <a:pPr>
            <a:defRPr b="0" sz="1100" spc="-1" strike="noStrike">
              <a:solidFill>
                <a:srgbClr val="000000"/>
              </a:solidFill>
              <a:latin typeface="Calibri"/>
              <a:ea typeface="DejaVu Sans"/>
            </a:defRPr>
          </a:pPr>
        </a:p>
      </c:txPr>
    </c:legend>
    <c:plotVisOnly val="1"/>
    <c:dispBlanksAs val="zero"/>
  </c:chart>
  <c:spPr>
    <a:solidFill>
      <a:srgbClr val="ffffff"/>
    </a:solidFill>
    <a:ln w="9360">
      <a:solidFill>
        <a:srgbClr val="808080"/>
      </a:solidFill>
      <a:round/>
    </a:ln>
  </c:spPr>
</c:chartSpace>
</file>

<file path=word/charts/chart34.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Теплова енергія, тис. Гкал</c:v>
                </c:pt>
              </c:strCache>
            </c:strRef>
          </c:tx>
          <c:spPr>
            <a:solidFill>
              <a:srgbClr val="ff000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371.9</c:v>
                </c:pt>
                <c:pt idx="1">
                  <c:v>390.7</c:v>
                </c:pt>
                <c:pt idx="2">
                  <c:v>296.4</c:v>
                </c:pt>
                <c:pt idx="3">
                  <c:v>309.75</c:v>
                </c:pt>
                <c:pt idx="4">
                  <c:v>318.95</c:v>
                </c:pt>
                <c:pt idx="5">
                  <c:v>258.85</c:v>
                </c:pt>
                <c:pt idx="6">
                  <c:v>256.1</c:v>
                </c:pt>
                <c:pt idx="7">
                  <c:v>261.5</c:v>
                </c:pt>
              </c:numCache>
            </c:numRef>
          </c:val>
        </c:ser>
        <c:gapWidth val="100"/>
        <c:overlap val="0"/>
        <c:axId val="82411970"/>
        <c:axId val="9587469"/>
      </c:barChart>
      <c:catAx>
        <c:axId val="82411970"/>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1000" spc="-1" strike="noStrike">
                <a:solidFill>
                  <a:srgbClr val="000000"/>
                </a:solidFill>
                <a:latin typeface="Arial"/>
                <a:ea typeface="DejaVu Sans"/>
              </a:defRPr>
            </a:pPr>
          </a:p>
        </c:txPr>
        <c:crossAx val="9587469"/>
        <c:crosses val="autoZero"/>
        <c:auto val="1"/>
        <c:lblAlgn val="ctr"/>
        <c:lblOffset val="100"/>
        <c:noMultiLvlLbl val="0"/>
      </c:catAx>
      <c:valAx>
        <c:axId val="9587469"/>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82411970"/>
        <c:crosses val="autoZero"/>
        <c:crossBetween val="between"/>
      </c:valAx>
      <c:spPr>
        <a:noFill/>
        <a:ln w="0">
          <a:solidFill>
            <a:srgbClr val="b3b3b3"/>
          </a:solidFill>
        </a:ln>
      </c:spPr>
    </c:plotArea>
    <c:legend>
      <c:legendPos val="b"/>
      <c:layout>
        <c:manualLayout>
          <c:xMode val="edge"/>
          <c:yMode val="edge"/>
          <c:x val="0.2759375"/>
          <c:y val="0.898777777777778"/>
          <c:w val="0.433589599349959"/>
          <c:h val="0.0954550505611735"/>
        </c:manualLayout>
      </c:layout>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noFill/>
    <a:ln w="0">
      <a:noFill/>
    </a:ln>
  </c:spPr>
</c:chartSpace>
</file>

<file path=word/charts/chart35.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Газопостачання, тис. м3</c:v>
                </c:pt>
              </c:strCache>
            </c:strRef>
          </c:tx>
          <c:spPr>
            <a:solidFill>
              <a:srgbClr val="ffd70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80439.9</c:v>
                </c:pt>
                <c:pt idx="1">
                  <c:v>74280.3</c:v>
                </c:pt>
                <c:pt idx="2">
                  <c:v>62328.1</c:v>
                </c:pt>
                <c:pt idx="3">
                  <c:v>67640</c:v>
                </c:pt>
                <c:pt idx="4">
                  <c:v>70326.5</c:v>
                </c:pt>
                <c:pt idx="5">
                  <c:v>69999.3</c:v>
                </c:pt>
                <c:pt idx="6">
                  <c:v>70923.97</c:v>
                </c:pt>
                <c:pt idx="7">
                  <c:v>68462.5</c:v>
                </c:pt>
              </c:numCache>
            </c:numRef>
          </c:val>
        </c:ser>
        <c:gapWidth val="100"/>
        <c:overlap val="0"/>
        <c:axId val="9793043"/>
        <c:axId val="48630336"/>
      </c:barChart>
      <c:catAx>
        <c:axId val="9793043"/>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1000" spc="-1" strike="noStrike">
                <a:solidFill>
                  <a:srgbClr val="000000"/>
                </a:solidFill>
                <a:latin typeface="Arial"/>
                <a:ea typeface="DejaVu Sans"/>
              </a:defRPr>
            </a:pPr>
          </a:p>
        </c:txPr>
        <c:crossAx val="48630336"/>
        <c:crosses val="autoZero"/>
        <c:auto val="1"/>
        <c:lblAlgn val="ctr"/>
        <c:lblOffset val="100"/>
        <c:noMultiLvlLbl val="0"/>
      </c:catAx>
      <c:valAx>
        <c:axId val="48630336"/>
        <c:scaling>
          <c:orientation val="minMax"/>
          <c:min val="0"/>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9793043"/>
        <c:crossesAt val="1"/>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noFill/>
    <a:ln w="0">
      <a:noFill/>
    </a:ln>
  </c:spPr>
</c:chartSpace>
</file>

<file path=word/charts/chart36.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Електропостачання тис. МВт.год</c:v>
                </c:pt>
              </c:strCache>
            </c:strRef>
          </c:tx>
          <c:spPr>
            <a:solidFill>
              <a:srgbClr val="00a933"/>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135.9</c:v>
                </c:pt>
                <c:pt idx="1">
                  <c:v>136.4</c:v>
                </c:pt>
                <c:pt idx="2">
                  <c:v>138.9</c:v>
                </c:pt>
                <c:pt idx="3">
                  <c:v>215.333</c:v>
                </c:pt>
                <c:pt idx="4">
                  <c:v>233.591</c:v>
                </c:pt>
                <c:pt idx="5">
                  <c:v>228.839</c:v>
                </c:pt>
                <c:pt idx="6">
                  <c:v>150.141</c:v>
                </c:pt>
                <c:pt idx="7">
                  <c:v>147.157</c:v>
                </c:pt>
              </c:numCache>
            </c:numRef>
          </c:val>
        </c:ser>
        <c:gapWidth val="100"/>
        <c:overlap val="0"/>
        <c:axId val="72636551"/>
        <c:axId val="38900980"/>
      </c:barChart>
      <c:catAx>
        <c:axId val="72636551"/>
        <c:scaling>
          <c:orientation val="minMax"/>
        </c:scaling>
        <c:delete val="0"/>
        <c:axPos val="b"/>
        <c:numFmt formatCode="[$-422]dd/mm/yyyy" sourceLinked="0"/>
        <c:majorTickMark val="out"/>
        <c:minorTickMark val="none"/>
        <c:tickLblPos val="nextTo"/>
        <c:spPr>
          <a:ln w="0">
            <a:solidFill>
              <a:srgbClr val="b3b3b3"/>
            </a:solidFill>
          </a:ln>
        </c:spPr>
        <c:txPr>
          <a:bodyPr rot="-3600000"/>
          <a:lstStyle/>
          <a:p>
            <a:pPr>
              <a:defRPr b="0" sz="1000" spc="-1" strike="noStrike">
                <a:solidFill>
                  <a:srgbClr val="000000"/>
                </a:solidFill>
                <a:latin typeface="Arial"/>
                <a:ea typeface="DejaVu Sans"/>
              </a:defRPr>
            </a:pPr>
          </a:p>
        </c:txPr>
        <c:crossAx val="38900980"/>
        <c:crosses val="autoZero"/>
        <c:auto val="1"/>
        <c:lblAlgn val="ctr"/>
        <c:lblOffset val="100"/>
        <c:noMultiLvlLbl val="0"/>
      </c:catAx>
      <c:valAx>
        <c:axId val="38900980"/>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2636551"/>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noFill/>
    <a:ln w="0">
      <a:noFill/>
    </a:ln>
  </c:spPr>
</c:chartSpace>
</file>

<file path=word/charts/chart37.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Виробництво теплової енергії, тис. Гкал </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521.7</c:v>
                </c:pt>
                <c:pt idx="1">
                  <c:v>504.1</c:v>
                </c:pt>
                <c:pt idx="2">
                  <c:v>475.3</c:v>
                </c:pt>
                <c:pt idx="3">
                  <c:v>476.5</c:v>
                </c:pt>
                <c:pt idx="4">
                  <c:v>488.5</c:v>
                </c:pt>
                <c:pt idx="5">
                  <c:v>401.5</c:v>
                </c:pt>
                <c:pt idx="6">
                  <c:v>405.4</c:v>
                </c:pt>
                <c:pt idx="7">
                  <c:v>410.2</c:v>
                </c:pt>
              </c:numCache>
            </c:numRef>
          </c:val>
        </c:ser>
        <c:gapWidth val="100"/>
        <c:overlap val="0"/>
        <c:axId val="10906486"/>
        <c:axId val="22785100"/>
      </c:barChart>
      <c:catAx>
        <c:axId val="10906486"/>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1000" spc="-1" strike="noStrike">
                <a:solidFill>
                  <a:srgbClr val="000000"/>
                </a:solidFill>
                <a:latin typeface="Arial"/>
                <a:ea typeface="DejaVu Sans"/>
              </a:defRPr>
            </a:pPr>
          </a:p>
        </c:txPr>
        <c:crossAx val="22785100"/>
        <c:crosses val="autoZero"/>
        <c:auto val="1"/>
        <c:lblAlgn val="ctr"/>
        <c:lblOffset val="100"/>
        <c:noMultiLvlLbl val="0"/>
      </c:catAx>
      <c:valAx>
        <c:axId val="22785100"/>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10906486"/>
        <c:crosses val="autoZero"/>
        <c:crossBetween val="between"/>
      </c:valAx>
      <c:spPr>
        <a:noFill/>
        <a:ln w="0">
          <a:solidFill>
            <a:srgbClr val="b3b3b3"/>
          </a:solidFill>
        </a:ln>
      </c:spPr>
    </c:plotArea>
    <c:legend>
      <c:legendPos val="b"/>
      <c:overlay val="0"/>
      <c:spPr>
        <a:noFill/>
        <a:ln w="0">
          <a:noFill/>
        </a:ln>
      </c:spPr>
      <c:txPr>
        <a:bodyPr/>
        <a:lstStyle/>
        <a:p>
          <a:pPr>
            <a:defRPr b="0" sz="1000" spc="-1" strike="noStrike">
              <a:solidFill>
                <a:srgbClr val="000000"/>
              </a:solidFill>
              <a:latin typeface="Arial"/>
              <a:ea typeface="DejaVu Sans"/>
            </a:defRPr>
          </a:pPr>
        </a:p>
      </c:txPr>
    </c:legend>
    <c:plotVisOnly val="1"/>
    <c:dispBlanksAs val="gap"/>
  </c:chart>
  <c:spPr>
    <a:noFill/>
    <a:ln w="0">
      <a:noFill/>
    </a:ln>
  </c:spPr>
</c:chartSpace>
</file>

<file path=word/charts/chart38.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Виробництво теплової енергії, тис. Гкал</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516.3</c:v>
                </c:pt>
                <c:pt idx="1">
                  <c:v>503.3</c:v>
                </c:pt>
                <c:pt idx="2">
                  <c:v>474.6</c:v>
                </c:pt>
                <c:pt idx="3">
                  <c:v>475.9</c:v>
                </c:pt>
                <c:pt idx="4">
                  <c:v>467.7</c:v>
                </c:pt>
                <c:pt idx="5">
                  <c:v>401.1</c:v>
                </c:pt>
                <c:pt idx="6">
                  <c:v>405.4</c:v>
                </c:pt>
                <c:pt idx="7">
                  <c:v>410.2</c:v>
                </c:pt>
              </c:numCache>
            </c:numRef>
          </c:val>
        </c:ser>
        <c:gapWidth val="100"/>
        <c:overlap val="0"/>
        <c:axId val="7940112"/>
        <c:axId val="10147194"/>
      </c:barChart>
      <c:lineChart>
        <c:grouping val="standard"/>
        <c:varyColors val="0"/>
        <c:ser>
          <c:idx val="1"/>
          <c:order val="1"/>
          <c:tx>
            <c:strRef>
              <c:f>label 1</c:f>
              <c:strCache>
                <c:ptCount val="1"/>
                <c:pt idx="0">
                  <c:v>Тривалість опалення,
діб</c:v>
                </c:pt>
              </c:strCache>
            </c:strRef>
          </c:tx>
          <c:spPr>
            <a:solidFill>
              <a:srgbClr val="ff420e"/>
            </a:solidFill>
            <a:ln w="0">
              <a:solidFill>
                <a:srgbClr val="ff420e"/>
              </a:solidFill>
            </a:ln>
          </c:spPr>
          <c:marker>
            <c:symbol val="none"/>
          </c:marker>
          <c:dLbls>
            <c:txPr>
              <a:bodyPr wrap="none"/>
              <a:lstStyle/>
              <a:p>
                <a:pPr>
                  <a:defRPr b="0" sz="1000" spc="-1" strike="noStrike">
                    <a:solidFill>
                      <a:srgbClr val="000000"/>
                    </a:solidFill>
                    <a:latin typeface="Arial"/>
                    <a:ea typeface="DejaVu Sans"/>
                  </a:defRPr>
                </a:pPr>
              </a:p>
            </c:txPr>
            <c:dLblPos val="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165</c:v>
                </c:pt>
                <c:pt idx="1">
                  <c:v>158</c:v>
                </c:pt>
                <c:pt idx="2">
                  <c:v>162</c:v>
                </c:pt>
                <c:pt idx="3">
                  <c:v>178</c:v>
                </c:pt>
                <c:pt idx="4">
                  <c:v>178</c:v>
                </c:pt>
                <c:pt idx="5">
                  <c:v>154</c:v>
                </c:pt>
                <c:pt idx="6">
                  <c:v>163</c:v>
                </c:pt>
                <c:pt idx="7">
                  <c:v>164</c:v>
                </c:pt>
              </c:numCache>
            </c:numRef>
          </c:val>
          <c:smooth val="0"/>
        </c:ser>
        <c:hiLowLines>
          <c:spPr>
            <a:ln w="0">
              <a:noFill/>
            </a:ln>
          </c:spPr>
        </c:hiLowLines>
        <c:marker val="0"/>
        <c:axId val="91761459"/>
        <c:axId val="88896123"/>
      </c:lineChart>
      <c:catAx>
        <c:axId val="7940112"/>
        <c:scaling>
          <c:orientation val="minMax"/>
        </c:scaling>
        <c:delete val="0"/>
        <c:axPos val="b"/>
        <c:numFmt formatCode="General" sourceLinked="0"/>
        <c:majorTickMark val="out"/>
        <c:minorTickMark val="none"/>
        <c:tickLblPos val="nextTo"/>
        <c:spPr>
          <a:ln w="0">
            <a:solidFill>
              <a:srgbClr val="b3b3b3"/>
            </a:solidFill>
          </a:ln>
        </c:spPr>
        <c:txPr>
          <a:bodyPr rot="-3600000"/>
          <a:lstStyle/>
          <a:p>
            <a:pPr>
              <a:defRPr b="0" sz="1000" spc="-1" strike="noStrike">
                <a:solidFill>
                  <a:srgbClr val="000000"/>
                </a:solidFill>
                <a:latin typeface="Arial"/>
                <a:ea typeface="DejaVu Sans"/>
              </a:defRPr>
            </a:pPr>
          </a:p>
        </c:txPr>
        <c:crossAx val="10147194"/>
        <c:crosses val="autoZero"/>
        <c:auto val="1"/>
        <c:lblAlgn val="ctr"/>
        <c:lblOffset val="100"/>
        <c:noMultiLvlLbl val="0"/>
      </c:catAx>
      <c:valAx>
        <c:axId val="10147194"/>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940112"/>
        <c:crosses val="autoZero"/>
        <c:crossBetween val="between"/>
      </c:valAx>
      <c:catAx>
        <c:axId val="91761459"/>
        <c:scaling>
          <c:orientation val="minMax"/>
        </c:scaling>
        <c:delete val="1"/>
        <c:axPos val="t"/>
        <c:numFmt formatCode="[$-422]dd/mm/yyyy" sourceLinked="1"/>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88896123"/>
        <c:auto val="1"/>
        <c:lblAlgn val="ctr"/>
        <c:lblOffset val="100"/>
        <c:noMultiLvlLbl val="0"/>
      </c:catAx>
      <c:valAx>
        <c:axId val="88896123"/>
        <c:scaling>
          <c:orientation val="minMax"/>
          <c:max val="200"/>
          <c:min val="120"/>
        </c:scaling>
        <c:delete val="0"/>
        <c:axPos val="r"/>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91761459"/>
        <c:crosses val="max"/>
        <c:crossBetween val="between"/>
      </c:valAx>
      <c:spPr>
        <a:noFill/>
        <a:ln w="0">
          <a:solidFill>
            <a:srgbClr val="b3b3b3"/>
          </a:solidFill>
        </a:ln>
      </c:spPr>
    </c:plotArea>
    <c:legend>
      <c:legendPos val="b"/>
      <c:layout>
        <c:manualLayout>
          <c:xMode val="edge"/>
          <c:yMode val="edge"/>
          <c:x val="0.052875"/>
          <c:y val="0.863"/>
          <c:w val="0.917119819988749"/>
          <c:h val="0.10023335926214"/>
        </c:manualLayout>
      </c:layout>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39.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stacked"/>
        <c:varyColors val="0"/>
        <c:ser>
          <c:idx val="0"/>
          <c:order val="0"/>
          <c:tx>
            <c:strRef>
              <c:f>label 0</c:f>
              <c:strCache>
                <c:ptCount val="1"/>
                <c:pt idx="0">
                  <c:v>Бюджетні установи</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54.9</c:v>
                </c:pt>
                <c:pt idx="1">
                  <c:v>53.5</c:v>
                </c:pt>
                <c:pt idx="2">
                  <c:v>46.9</c:v>
                </c:pt>
                <c:pt idx="3">
                  <c:v>49.2</c:v>
                </c:pt>
                <c:pt idx="4">
                  <c:v>42.6</c:v>
                </c:pt>
                <c:pt idx="5">
                  <c:v>41.7</c:v>
                </c:pt>
                <c:pt idx="6">
                  <c:v>40.5</c:v>
                </c:pt>
                <c:pt idx="7">
                  <c:v>41.9</c:v>
                </c:pt>
              </c:numCache>
            </c:numRef>
          </c:val>
        </c:ser>
        <c:ser>
          <c:idx val="1"/>
          <c:order val="1"/>
          <c:tx>
            <c:strRef>
              <c:f>label 1</c:f>
              <c:strCache>
                <c:ptCount val="1"/>
                <c:pt idx="0">
                  <c:v>Населення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371.8</c:v>
                </c:pt>
                <c:pt idx="1">
                  <c:v>390.7</c:v>
                </c:pt>
                <c:pt idx="2">
                  <c:v>296.4</c:v>
                </c:pt>
                <c:pt idx="3">
                  <c:v>309.8</c:v>
                </c:pt>
                <c:pt idx="4">
                  <c:v>318.9</c:v>
                </c:pt>
                <c:pt idx="5">
                  <c:v>258.9</c:v>
                </c:pt>
                <c:pt idx="6">
                  <c:v>256.1</c:v>
                </c:pt>
                <c:pt idx="7">
                  <c:v>261.5</c:v>
                </c:pt>
              </c:numCache>
            </c:numRef>
          </c:val>
        </c:ser>
        <c:ser>
          <c:idx val="2"/>
          <c:order val="2"/>
          <c:tx>
            <c:strRef>
              <c:f>label 2</c:f>
              <c:strCache>
                <c:ptCount val="1"/>
                <c:pt idx="0">
                  <c:v>Промисловість</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5.9</c:v>
                </c:pt>
                <c:pt idx="1">
                  <c:v>0</c:v>
                </c:pt>
                <c:pt idx="2">
                  <c:v>0</c:v>
                </c:pt>
                <c:pt idx="3">
                  <c:v>0</c:v>
                </c:pt>
                <c:pt idx="4">
                  <c:v>0</c:v>
                </c:pt>
                <c:pt idx="5">
                  <c:v>0</c:v>
                </c:pt>
                <c:pt idx="6">
                  <c:v>0</c:v>
                </c:pt>
                <c:pt idx="7">
                  <c:v>0</c:v>
                </c:pt>
              </c:numCache>
            </c:numRef>
          </c:val>
        </c:ser>
        <c:ser>
          <c:idx val="3"/>
          <c:order val="3"/>
          <c:tx>
            <c:strRef>
              <c:f>label 3</c:f>
              <c:strCache>
                <c:ptCount val="1"/>
                <c:pt idx="0">
                  <c:v>Інші споживачі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14.3</c:v>
                </c:pt>
                <c:pt idx="1">
                  <c:v>18.3</c:v>
                </c:pt>
                <c:pt idx="2">
                  <c:v>11.9</c:v>
                </c:pt>
                <c:pt idx="3">
                  <c:v>10.4</c:v>
                </c:pt>
                <c:pt idx="4">
                  <c:v>12.1</c:v>
                </c:pt>
                <c:pt idx="5">
                  <c:v>8.1</c:v>
                </c:pt>
                <c:pt idx="6">
                  <c:v>10.4</c:v>
                </c:pt>
                <c:pt idx="7">
                  <c:v>9.2</c:v>
                </c:pt>
              </c:numCache>
            </c:numRef>
          </c:val>
        </c:ser>
        <c:ser>
          <c:idx val="4"/>
          <c:order val="4"/>
          <c:tx>
            <c:strRef>
              <c:f>label 4</c:f>
              <c:strCache>
                <c:ptCount val="1"/>
                <c:pt idx="0">
                  <c:v>Релігійні організації</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0.15</c:v>
                </c:pt>
                <c:pt idx="1">
                  <c:v>0.17</c:v>
                </c:pt>
                <c:pt idx="2">
                  <c:v>0.770000000000001</c:v>
                </c:pt>
                <c:pt idx="3">
                  <c:v>0.760000000000001</c:v>
                </c:pt>
                <c:pt idx="4">
                  <c:v>0.85</c:v>
                </c:pt>
                <c:pt idx="5">
                  <c:v>0.1</c:v>
                </c:pt>
                <c:pt idx="6">
                  <c:v>0.12</c:v>
                </c:pt>
                <c:pt idx="7">
                  <c:v>0.14</c:v>
                </c:pt>
              </c:numCache>
            </c:numRef>
          </c:val>
        </c:ser>
        <c:gapWidth val="100"/>
        <c:overlap val="100"/>
        <c:axId val="79045735"/>
        <c:axId val="47838471"/>
      </c:barChart>
      <c:catAx>
        <c:axId val="79045735"/>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1000" spc="-1" strike="noStrike">
                <a:solidFill>
                  <a:srgbClr val="000000"/>
                </a:solidFill>
                <a:latin typeface="Arial"/>
                <a:ea typeface="DejaVu Sans"/>
              </a:defRPr>
            </a:pPr>
          </a:p>
        </c:txPr>
        <c:crossAx val="47838471"/>
        <c:crosses val="autoZero"/>
        <c:auto val="1"/>
        <c:lblAlgn val="ctr"/>
        <c:lblOffset val="100"/>
        <c:noMultiLvlLbl val="0"/>
      </c:catAx>
      <c:valAx>
        <c:axId val="47838471"/>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9045735"/>
        <c:crosses val="autoZero"/>
        <c:crossBetween val="between"/>
      </c:valAx>
      <c:spPr>
        <a:noFill/>
        <a:ln w="0">
          <a:solidFill>
            <a:srgbClr val="b3b3b3"/>
          </a:solidFill>
        </a:ln>
      </c:spPr>
    </c:plotArea>
    <c:legend>
      <c:legendPos val="b"/>
      <c:overlay val="0"/>
      <c:spPr>
        <a:noFill/>
        <a:ln w="0">
          <a:noFill/>
        </a:ln>
      </c:spPr>
      <c:txPr>
        <a:bodyPr/>
        <a:lstStyle/>
        <a:p>
          <a:pPr>
            <a:defRPr b="0" sz="900" spc="-1" strike="noStrike">
              <a:solidFill>
                <a:srgbClr val="000000"/>
              </a:solidFill>
              <a:latin typeface="Calibri"/>
              <a:ea typeface="DejaVu Sans"/>
            </a:defRPr>
          </a:pPr>
        </a:p>
      </c:txPr>
    </c:legend>
    <c:plotVisOnly val="1"/>
    <c:dispBlanksAs val="gap"/>
  </c:chart>
  <c:spPr>
    <a:noFill/>
    <a:ln w="0">
      <a:noFill/>
    </a:ln>
  </c:spPr>
</c:chartSpace>
</file>

<file path=word/charts/chart40.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pieChart>
        <c:varyColors val="1"/>
        <c:ser>
          <c:idx val="0"/>
          <c:order val="0"/>
          <c:tx>
            <c:strRef>
              <c:f>label 0</c:f>
              <c:strCache>
                <c:ptCount val="1"/>
                <c:pt idx="0">
                  <c:v>Стовпчик M</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Pt>
            <c:idx val="3"/>
            <c:spPr>
              <a:solidFill>
                <a:srgbClr val="579d1c"/>
              </a:solidFill>
              <a:ln w="0">
                <a:noFill/>
              </a:ln>
            </c:spPr>
          </c:dPt>
          <c:dPt>
            <c:idx val="4"/>
            <c:spPr>
              <a:solidFill>
                <a:srgbClr val="7e0021"/>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4"/>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5"/>
                <c:pt idx="0">
                  <c:v>Бюджетні установи</c:v>
                </c:pt>
                <c:pt idx="1">
                  <c:v>Населення</c:v>
                </c:pt>
                <c:pt idx="2">
                  <c:v>Промисловість</c:v>
                </c:pt>
                <c:pt idx="3">
                  <c:v>Інші споживачі</c:v>
                </c:pt>
                <c:pt idx="4">
                  <c:v>Релігійні організації</c:v>
                </c:pt>
              </c:strCache>
            </c:strRef>
          </c:cat>
          <c:val>
            <c:numRef>
              <c:f>0</c:f>
              <c:numCache>
                <c:formatCode>General</c:formatCode>
                <c:ptCount val="5"/>
                <c:pt idx="0">
                  <c:v>41.9</c:v>
                </c:pt>
                <c:pt idx="1">
                  <c:v>261.5</c:v>
                </c:pt>
                <c:pt idx="2">
                  <c:v>0</c:v>
                </c:pt>
                <c:pt idx="3">
                  <c:v>9.2</c:v>
                </c:pt>
                <c:pt idx="4">
                  <c:v>0.14</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4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stacked"/>
        <c:varyColors val="0"/>
        <c:ser>
          <c:idx val="0"/>
          <c:order val="0"/>
          <c:tx>
            <c:strRef>
              <c:f>label 0</c:f>
              <c:strCache>
                <c:ptCount val="1"/>
                <c:pt idx="0">
                  <c:v>Бюджетний сектор</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3903.29</c:v>
                </c:pt>
                <c:pt idx="1">
                  <c:v>3502.92</c:v>
                </c:pt>
                <c:pt idx="2">
                  <c:v>3109.72</c:v>
                </c:pt>
                <c:pt idx="3">
                  <c:v>2880.58</c:v>
                </c:pt>
                <c:pt idx="4">
                  <c:v>3102.09</c:v>
                </c:pt>
                <c:pt idx="5">
                  <c:v>2549.37</c:v>
                </c:pt>
                <c:pt idx="6">
                  <c:v>2933.43</c:v>
                </c:pt>
                <c:pt idx="7">
                  <c:v>2937.57</c:v>
                </c:pt>
              </c:numCache>
            </c:numRef>
          </c:val>
        </c:ser>
        <c:ser>
          <c:idx val="1"/>
          <c:order val="1"/>
          <c:tx>
            <c:strRef>
              <c:f>label 1</c:f>
              <c:strCache>
                <c:ptCount val="1"/>
                <c:pt idx="0">
                  <c:v>Населення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80439.97</c:v>
                </c:pt>
                <c:pt idx="1">
                  <c:v>74280.31</c:v>
                </c:pt>
                <c:pt idx="2">
                  <c:v>62328.13</c:v>
                </c:pt>
                <c:pt idx="3">
                  <c:v>67640.01</c:v>
                </c:pt>
                <c:pt idx="4">
                  <c:v>70326.53</c:v>
                </c:pt>
                <c:pt idx="5">
                  <c:v>69999.26</c:v>
                </c:pt>
                <c:pt idx="6">
                  <c:v>70923.97</c:v>
                </c:pt>
                <c:pt idx="7">
                  <c:v>68482.46</c:v>
                </c:pt>
              </c:numCache>
            </c:numRef>
          </c:val>
        </c:ser>
        <c:ser>
          <c:idx val="2"/>
          <c:order val="2"/>
          <c:tx>
            <c:strRef>
              <c:f>label 2</c:f>
              <c:strCache>
                <c:ptCount val="1"/>
                <c:pt idx="0">
                  <c:v>Промислові підприємства</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39769.27</c:v>
                </c:pt>
                <c:pt idx="1">
                  <c:v>36250.58</c:v>
                </c:pt>
                <c:pt idx="2">
                  <c:v>34123</c:v>
                </c:pt>
                <c:pt idx="3">
                  <c:v>20581.53</c:v>
                </c:pt>
                <c:pt idx="4">
                  <c:v>19462.48</c:v>
                </c:pt>
                <c:pt idx="5">
                  <c:v>13216.37</c:v>
                </c:pt>
                <c:pt idx="6">
                  <c:v>33381.65</c:v>
                </c:pt>
                <c:pt idx="7">
                  <c:v>39565.2</c:v>
                </c:pt>
              </c:numCache>
            </c:numRef>
          </c:val>
        </c:ser>
        <c:ser>
          <c:idx val="3"/>
          <c:order val="3"/>
          <c:tx>
            <c:strRef>
              <c:f>label 3</c:f>
              <c:strCache>
                <c:ptCount val="1"/>
                <c:pt idx="0">
                  <c:v>Інші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3224.54</c:v>
                </c:pt>
                <c:pt idx="1">
                  <c:v>2939.24</c:v>
                </c:pt>
                <c:pt idx="2">
                  <c:v>2766.73</c:v>
                </c:pt>
                <c:pt idx="3">
                  <c:v>1673.33</c:v>
                </c:pt>
                <c:pt idx="4">
                  <c:v>1964.99</c:v>
                </c:pt>
                <c:pt idx="5">
                  <c:v>939.08</c:v>
                </c:pt>
                <c:pt idx="6">
                  <c:v>2706.62</c:v>
                </c:pt>
                <c:pt idx="7">
                  <c:v>0</c:v>
                </c:pt>
              </c:numCache>
            </c:numRef>
          </c:val>
        </c:ser>
        <c:ser>
          <c:idx val="4"/>
          <c:order val="4"/>
          <c:tx>
            <c:strRef>
              <c:f>label 4</c:f>
              <c:strCache>
                <c:ptCount val="1"/>
                <c:pt idx="0">
                  <c:v>Теплопостачальна організація</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69205.39</c:v>
                </c:pt>
                <c:pt idx="1">
                  <c:v>68647.33</c:v>
                </c:pt>
                <c:pt idx="2">
                  <c:v>61995.78</c:v>
                </c:pt>
                <c:pt idx="3">
                  <c:v>60131.04</c:v>
                </c:pt>
                <c:pt idx="4">
                  <c:v>63363.01</c:v>
                </c:pt>
                <c:pt idx="5">
                  <c:v>51697.95</c:v>
                </c:pt>
                <c:pt idx="6">
                  <c:v>51419.95</c:v>
                </c:pt>
                <c:pt idx="7">
                  <c:v>52734.87</c:v>
                </c:pt>
              </c:numCache>
            </c:numRef>
          </c:val>
        </c:ser>
        <c:gapWidth val="100"/>
        <c:overlap val="100"/>
        <c:axId val="98440046"/>
        <c:axId val="63052547"/>
      </c:barChart>
      <c:catAx>
        <c:axId val="98440046"/>
        <c:scaling>
          <c:orientation val="minMax"/>
        </c:scaling>
        <c:delete val="0"/>
        <c:axPos val="b"/>
        <c:numFmt formatCode="[$-422]dd/mm/yyyy" sourceLinked="0"/>
        <c:majorTickMark val="out"/>
        <c:minorTickMark val="none"/>
        <c:tickLblPos val="nextTo"/>
        <c:spPr>
          <a:ln w="0">
            <a:solidFill>
              <a:srgbClr val="b3b3b3"/>
            </a:solidFill>
          </a:ln>
        </c:spPr>
        <c:txPr>
          <a:bodyPr/>
          <a:lstStyle/>
          <a:p>
            <a:pPr>
              <a:defRPr b="0" sz="900" spc="-1" strike="noStrike">
                <a:solidFill>
                  <a:srgbClr val="000000"/>
                </a:solidFill>
                <a:latin typeface="Arial"/>
                <a:ea typeface="DejaVu Sans"/>
              </a:defRPr>
            </a:pPr>
          </a:p>
        </c:txPr>
        <c:crossAx val="63052547"/>
        <c:crosses val="autoZero"/>
        <c:auto val="1"/>
        <c:lblAlgn val="ctr"/>
        <c:lblOffset val="100"/>
        <c:noMultiLvlLbl val="0"/>
      </c:catAx>
      <c:valAx>
        <c:axId val="63052547"/>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900" spc="-1" strike="noStrike">
                <a:solidFill>
                  <a:srgbClr val="000000"/>
                </a:solidFill>
                <a:latin typeface="Arial"/>
                <a:ea typeface="DejaVu Sans"/>
              </a:defRPr>
            </a:pPr>
          </a:p>
        </c:txPr>
        <c:crossAx val="98440046"/>
        <c:crossesAt val="1"/>
        <c:crossBetween val="between"/>
      </c:valAx>
      <c:spPr>
        <a:noFill/>
        <a:ln w="0">
          <a:solidFill>
            <a:srgbClr val="b3b3b3"/>
          </a:solidFill>
        </a:ln>
      </c:spPr>
    </c:plotArea>
    <c:legend>
      <c:legendPos val="b"/>
      <c:layout>
        <c:manualLayout>
          <c:xMode val="edge"/>
          <c:yMode val="edge"/>
          <c:x val="0.22375"/>
          <c:y val="0.890444444444445"/>
          <c:w val="0.728295518469904"/>
          <c:h val="0.109456606289588"/>
        </c:manualLayout>
      </c:layout>
      <c:overlay val="0"/>
      <c:spPr>
        <a:noFill/>
        <a:ln w="0">
          <a:noFill/>
        </a:ln>
      </c:spPr>
      <c:txPr>
        <a:bodyPr/>
        <a:lstStyle/>
        <a:p>
          <a:pPr>
            <a:defRPr b="0" sz="700" spc="-1" strike="noStrike">
              <a:solidFill>
                <a:srgbClr val="000000"/>
              </a:solidFill>
              <a:latin typeface="Arial"/>
              <a:ea typeface="DejaVu Sans"/>
            </a:defRPr>
          </a:pPr>
        </a:p>
      </c:txPr>
    </c:legend>
    <c:plotVisOnly val="1"/>
    <c:dispBlanksAs val="gap"/>
  </c:chart>
  <c:spPr>
    <a:noFill/>
    <a:ln w="0">
      <a:noFill/>
    </a:ln>
  </c:spPr>
</c:chartSpace>
</file>

<file path=word/charts/chart42.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layout>
        <c:manualLayout>
          <c:layoutTarget val="inner"/>
          <c:xMode val="edge"/>
          <c:yMode val="edge"/>
          <c:x val="0.1178125"/>
          <c:y val="0.042"/>
          <c:w val="0.861875"/>
          <c:h val="0.624222222222222"/>
        </c:manualLayout>
      </c:layout>
      <c:barChart>
        <c:barDir val="col"/>
        <c:grouping val="stacked"/>
        <c:varyColors val="0"/>
        <c:ser>
          <c:idx val="0"/>
          <c:order val="0"/>
          <c:tx>
            <c:strRef>
              <c:f>label 0</c:f>
              <c:strCache>
                <c:ptCount val="1"/>
                <c:pt idx="0">
                  <c:v>Громадські будівлі</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25607</c:v>
                </c:pt>
                <c:pt idx="1">
                  <c:v>29821</c:v>
                </c:pt>
                <c:pt idx="2">
                  <c:v>28380</c:v>
                </c:pt>
                <c:pt idx="3">
                  <c:v>25006</c:v>
                </c:pt>
                <c:pt idx="4">
                  <c:v>30955</c:v>
                </c:pt>
                <c:pt idx="5">
                  <c:v>29762</c:v>
                </c:pt>
                <c:pt idx="6">
                  <c:v>26588</c:v>
                </c:pt>
                <c:pt idx="7">
                  <c:v>22122</c:v>
                </c:pt>
              </c:numCache>
            </c:numRef>
          </c:val>
        </c:ser>
        <c:ser>
          <c:idx val="1"/>
          <c:order val="1"/>
          <c:tx>
            <c:strRef>
              <c:f>label 1</c:f>
              <c:strCache>
                <c:ptCount val="1"/>
                <c:pt idx="0">
                  <c:v>Об'єкти водопостачання та водовідведення</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18000</c:v>
                </c:pt>
                <c:pt idx="1">
                  <c:v>18200</c:v>
                </c:pt>
                <c:pt idx="2">
                  <c:v>17700</c:v>
                </c:pt>
                <c:pt idx="3">
                  <c:v>18100</c:v>
                </c:pt>
                <c:pt idx="4">
                  <c:v>18300</c:v>
                </c:pt>
                <c:pt idx="5">
                  <c:v>16200</c:v>
                </c:pt>
                <c:pt idx="6">
                  <c:v>17938</c:v>
                </c:pt>
                <c:pt idx="7">
                  <c:v>16757</c:v>
                </c:pt>
              </c:numCache>
            </c:numRef>
          </c:val>
        </c:ser>
        <c:ser>
          <c:idx val="2"/>
          <c:order val="2"/>
          <c:tx>
            <c:strRef>
              <c:f>label 2</c:f>
              <c:strCache>
                <c:ptCount val="1"/>
                <c:pt idx="0">
                  <c:v>Об'єкти зовінішнього освітлення </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3508</c:v>
                </c:pt>
                <c:pt idx="1">
                  <c:v>3465</c:v>
                </c:pt>
                <c:pt idx="2">
                  <c:v>3619</c:v>
                </c:pt>
                <c:pt idx="3">
                  <c:v>3936</c:v>
                </c:pt>
                <c:pt idx="4">
                  <c:v>4820</c:v>
                </c:pt>
                <c:pt idx="5">
                  <c:v>3528</c:v>
                </c:pt>
                <c:pt idx="6">
                  <c:v>3424.9</c:v>
                </c:pt>
                <c:pt idx="7">
                  <c:v>3932</c:v>
                </c:pt>
              </c:numCache>
            </c:numRef>
          </c:val>
        </c:ser>
        <c:ser>
          <c:idx val="3"/>
          <c:order val="3"/>
          <c:tx>
            <c:strRef>
              <c:f>label 3</c:f>
              <c:strCache>
                <c:ptCount val="1"/>
                <c:pt idx="0">
                  <c:v>Житлові будівлі</c:v>
                </c:pt>
              </c:strCache>
            </c:strRef>
          </c:tx>
          <c:spPr>
            <a:solidFill>
              <a:srgbClr val="579d1c"/>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3</c:f>
              <c:numCache>
                <c:formatCode>General</c:formatCode>
                <c:ptCount val="8"/>
                <c:pt idx="0">
                  <c:v>135876</c:v>
                </c:pt>
                <c:pt idx="1">
                  <c:v>136356</c:v>
                </c:pt>
                <c:pt idx="2">
                  <c:v>138887</c:v>
                </c:pt>
                <c:pt idx="3">
                  <c:v>215333</c:v>
                </c:pt>
                <c:pt idx="4">
                  <c:v>233591</c:v>
                </c:pt>
                <c:pt idx="5">
                  <c:v>228839</c:v>
                </c:pt>
                <c:pt idx="6">
                  <c:v>150141</c:v>
                </c:pt>
                <c:pt idx="7">
                  <c:v>147158</c:v>
                </c:pt>
              </c:numCache>
            </c:numRef>
          </c:val>
        </c:ser>
        <c:ser>
          <c:idx val="4"/>
          <c:order val="4"/>
          <c:tx>
            <c:strRef>
              <c:f>label 4</c:f>
              <c:strCache>
                <c:ptCount val="1"/>
                <c:pt idx="0">
                  <c:v>Об'єкти у сфері теплопостчання</c:v>
                </c:pt>
              </c:strCache>
            </c:strRef>
          </c:tx>
          <c:spPr>
            <a:solidFill>
              <a:srgbClr val="7e0021"/>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4</c:f>
              <c:numCache>
                <c:formatCode>General</c:formatCode>
                <c:ptCount val="8"/>
                <c:pt idx="0">
                  <c:v>20183.8</c:v>
                </c:pt>
                <c:pt idx="1">
                  <c:v>19962.97</c:v>
                </c:pt>
                <c:pt idx="2">
                  <c:v>19332.24</c:v>
                </c:pt>
                <c:pt idx="3">
                  <c:v>20253.23</c:v>
                </c:pt>
                <c:pt idx="4">
                  <c:v>19519.43</c:v>
                </c:pt>
                <c:pt idx="5">
                  <c:v>16978.46</c:v>
                </c:pt>
                <c:pt idx="6">
                  <c:v>14795.7</c:v>
                </c:pt>
                <c:pt idx="7">
                  <c:v>14428</c:v>
                </c:pt>
              </c:numCache>
            </c:numRef>
          </c:val>
        </c:ser>
        <c:ser>
          <c:idx val="5"/>
          <c:order val="5"/>
          <c:tx>
            <c:strRef>
              <c:f>label 5</c:f>
              <c:strCache>
                <c:ptCount val="1"/>
                <c:pt idx="0">
                  <c:v>Третинний сектор</c:v>
                </c:pt>
              </c:strCache>
            </c:strRef>
          </c:tx>
          <c:spPr>
            <a:solidFill>
              <a:srgbClr val="83caff"/>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5</c:f>
              <c:numCache>
                <c:formatCode>General</c:formatCode>
                <c:ptCount val="8"/>
                <c:pt idx="0">
                  <c:v>289693</c:v>
                </c:pt>
                <c:pt idx="1">
                  <c:v>306380</c:v>
                </c:pt>
                <c:pt idx="2">
                  <c:v>241075</c:v>
                </c:pt>
                <c:pt idx="3">
                  <c:v>318766</c:v>
                </c:pt>
                <c:pt idx="4">
                  <c:v>367085</c:v>
                </c:pt>
                <c:pt idx="5">
                  <c:v>306496</c:v>
                </c:pt>
                <c:pt idx="6">
                  <c:v>214391</c:v>
                </c:pt>
                <c:pt idx="7">
                  <c:v>237719</c:v>
                </c:pt>
              </c:numCache>
            </c:numRef>
          </c:val>
        </c:ser>
        <c:ser>
          <c:idx val="6"/>
          <c:order val="6"/>
          <c:tx>
            <c:strRef>
              <c:f>label 6</c:f>
              <c:strCache>
                <c:ptCount val="1"/>
                <c:pt idx="0">
                  <c:v>Громадський транспорт</c:v>
                </c:pt>
              </c:strCache>
            </c:strRef>
          </c:tx>
          <c:spPr>
            <a:solidFill>
              <a:srgbClr val="314004"/>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6</c:f>
              <c:numCache>
                <c:formatCode>General</c:formatCode>
                <c:ptCount val="8"/>
                <c:pt idx="0">
                  <c:v>7512.2</c:v>
                </c:pt>
                <c:pt idx="1">
                  <c:v>7499.5</c:v>
                </c:pt>
                <c:pt idx="2">
                  <c:v>7107.8</c:v>
                </c:pt>
                <c:pt idx="3">
                  <c:v>5272.81</c:v>
                </c:pt>
                <c:pt idx="4">
                  <c:v>6189.9</c:v>
                </c:pt>
                <c:pt idx="5">
                  <c:v>4680.11</c:v>
                </c:pt>
                <c:pt idx="6">
                  <c:v>4859.2</c:v>
                </c:pt>
                <c:pt idx="7">
                  <c:v>4856</c:v>
                </c:pt>
              </c:numCache>
            </c:numRef>
          </c:val>
        </c:ser>
        <c:ser>
          <c:idx val="7"/>
          <c:order val="7"/>
          <c:tx>
            <c:strRef>
              <c:f>label 7</c:f>
              <c:strCache>
                <c:ptCount val="1"/>
                <c:pt idx="0">
                  <c:v>Приватний та комерційний транспорт</c:v>
                </c:pt>
              </c:strCache>
            </c:strRef>
          </c:tx>
          <c:spPr>
            <a:solidFill>
              <a:srgbClr val="aecf00"/>
            </a:solidFill>
            <a:ln w="0">
              <a:noFill/>
            </a:ln>
          </c:spPr>
          <c:invertIfNegative val="0"/>
          <c:dLbls>
            <c:txPr>
              <a:bodyPr wrap="none"/>
              <a:lstStyle/>
              <a:p>
                <a:pPr>
                  <a:defRPr b="0" sz="1000" spc="-1" strike="noStrike">
                    <a:solidFill>
                      <a:srgbClr val="000000"/>
                    </a:solidFill>
                    <a:latin typeface="Arial"/>
                    <a:ea typeface="DejaVu Sans"/>
                  </a:defRPr>
                </a:pPr>
              </a:p>
            </c:txPr>
            <c:dLblPos val="ctr"/>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7</c:f>
              <c:numCache>
                <c:formatCode>General</c:formatCode>
                <c:ptCount val="8"/>
                <c:pt idx="0">
                  <c:v>752.97</c:v>
                </c:pt>
                <c:pt idx="1">
                  <c:v>792.6</c:v>
                </c:pt>
                <c:pt idx="2">
                  <c:v>817.12</c:v>
                </c:pt>
                <c:pt idx="3">
                  <c:v>833.79</c:v>
                </c:pt>
                <c:pt idx="4">
                  <c:v>858.81</c:v>
                </c:pt>
                <c:pt idx="5">
                  <c:v>790.1</c:v>
                </c:pt>
                <c:pt idx="6">
                  <c:v>916.52</c:v>
                </c:pt>
                <c:pt idx="7">
                  <c:v>992</c:v>
                </c:pt>
              </c:numCache>
            </c:numRef>
          </c:val>
        </c:ser>
        <c:gapWidth val="100"/>
        <c:overlap val="100"/>
        <c:axId val="79365749"/>
        <c:axId val="45348118"/>
      </c:barChart>
      <c:catAx>
        <c:axId val="79365749"/>
        <c:scaling>
          <c:orientation val="minMax"/>
        </c:scaling>
        <c:delete val="0"/>
        <c:axPos val="b"/>
        <c:numFmt formatCode="[$-422]dd/mm/yyyy" sourceLinked="0"/>
        <c:majorTickMark val="out"/>
        <c:minorTickMark val="none"/>
        <c:tickLblPos val="nextTo"/>
        <c:spPr>
          <a:ln w="0">
            <a:solidFill>
              <a:srgbClr val="b3b3b3"/>
            </a:solidFill>
          </a:ln>
        </c:spPr>
        <c:txPr>
          <a:bodyPr rot="-3000000"/>
          <a:lstStyle/>
          <a:p>
            <a:pPr>
              <a:defRPr b="0" sz="800" spc="-1" strike="noStrike">
                <a:solidFill>
                  <a:srgbClr val="000000"/>
                </a:solidFill>
                <a:latin typeface="Arial"/>
                <a:ea typeface="DejaVu Sans"/>
              </a:defRPr>
            </a:pPr>
          </a:p>
        </c:txPr>
        <c:crossAx val="45348118"/>
        <c:crosses val="autoZero"/>
        <c:auto val="1"/>
        <c:lblAlgn val="ctr"/>
        <c:lblOffset val="100"/>
        <c:noMultiLvlLbl val="0"/>
      </c:catAx>
      <c:valAx>
        <c:axId val="45348118"/>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1000" spc="-1" strike="noStrike">
                <a:solidFill>
                  <a:srgbClr val="000000"/>
                </a:solidFill>
                <a:latin typeface="Arial"/>
                <a:ea typeface="DejaVu Sans"/>
              </a:defRPr>
            </a:pPr>
          </a:p>
        </c:txPr>
        <c:crossAx val="79365749"/>
        <c:crossesAt val="1"/>
        <c:crossBetween val="between"/>
      </c:valAx>
      <c:spPr>
        <a:noFill/>
        <a:ln w="0">
          <a:solidFill>
            <a:srgbClr val="b3b3b3"/>
          </a:solidFill>
        </a:ln>
      </c:spPr>
    </c:plotArea>
    <c:legend>
      <c:legendPos val="b"/>
      <c:layout>
        <c:manualLayout>
          <c:xMode val="edge"/>
          <c:yMode val="edge"/>
          <c:x val="0"/>
          <c:y val="0.785777777777778"/>
          <c:w val="1"/>
          <c:h val="0.213801533503723"/>
        </c:manualLayout>
      </c:layout>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noFill/>
    <a:ln w="0">
      <a:noFill/>
    </a:ln>
  </c:spPr>
</c:chartSpace>
</file>

<file path=word/charts/chart43.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uk-UA" sz="1300" spc="-1" strike="noStrike">
                <a:solidFill>
                  <a:srgbClr val="000000"/>
                </a:solidFill>
                <a:latin typeface="Arial"/>
                <a:ea typeface="DejaVu Sans"/>
              </a:defRPr>
            </a:pPr>
            <a:r>
              <a:rPr b="0" lang="uk-UA" sz="1300" spc="-1" strike="noStrike">
                <a:solidFill>
                  <a:srgbClr val="000000"/>
                </a:solidFill>
                <a:latin typeface="Arial"/>
                <a:ea typeface="DejaVu Sans"/>
              </a:rPr>
              <a:t>2024 рік</a:t>
            </a:r>
          </a:p>
        </c:rich>
      </c:tx>
      <c:layout>
        <c:manualLayout>
          <c:xMode val="edge"/>
          <c:yMode val="edge"/>
          <c:x val="0.0366875"/>
          <c:y val="0.0361111111111111"/>
        </c:manualLayout>
      </c:layout>
      <c:overlay val="0"/>
      <c:spPr>
        <a:noFill/>
        <a:ln w="0">
          <a:noFill/>
        </a:ln>
      </c:spPr>
    </c:title>
    <c:autoTitleDeleted val="0"/>
    <c:plotArea>
      <c:layout>
        <c:manualLayout>
          <c:layoutTarget val="inner"/>
          <c:xMode val="edge"/>
          <c:yMode val="edge"/>
          <c:x val="0.036"/>
          <c:y val="0.230888888888889"/>
          <c:w val="0.5535625"/>
          <c:h val="0.652555555555556"/>
        </c:manualLayout>
      </c:layout>
      <c:pieChart>
        <c:varyColors val="1"/>
        <c:ser>
          <c:idx val="0"/>
          <c:order val="0"/>
          <c:tx>
            <c:strRef>
              <c:f>label 0</c:f>
              <c:strCache>
                <c:ptCount val="1"/>
                <c:pt idx="0">
                  <c:v>Серія1</c:v>
                </c:pt>
              </c:strCache>
            </c:strRef>
          </c:tx>
          <c:spPr>
            <a:solidFill>
              <a:srgbClr val="4f81bd"/>
            </a:solidFill>
            <a:ln w="0">
              <a:noFill/>
            </a:ln>
          </c:spPr>
          <c:explosion val="0"/>
          <c:dPt>
            <c:idx val="0"/>
            <c:spPr>
              <a:solidFill>
                <a:srgbClr val="4f81bd"/>
              </a:solidFill>
              <a:ln w="0">
                <a:noFill/>
              </a:ln>
            </c:spPr>
          </c:dPt>
          <c:dPt>
            <c:idx val="1"/>
            <c:spPr>
              <a:solidFill>
                <a:srgbClr val="c0504d"/>
              </a:solidFill>
              <a:ln w="0">
                <a:noFill/>
              </a:ln>
            </c:spPr>
          </c:dPt>
          <c:dPt>
            <c:idx val="2"/>
            <c:spPr>
              <a:solidFill>
                <a:srgbClr val="9bbb59"/>
              </a:solidFill>
              <a:ln w="0">
                <a:noFill/>
              </a:ln>
            </c:spPr>
          </c:dPt>
          <c:dPt>
            <c:idx val="3"/>
            <c:spPr>
              <a:solidFill>
                <a:srgbClr val="8064a2"/>
              </a:solidFill>
              <a:ln w="0">
                <a:noFill/>
              </a:ln>
            </c:spPr>
          </c:dPt>
          <c:dLbls>
            <c:dLbl>
              <c:idx val="0"/>
              <c:txPr>
                <a:bodyPr wrap="square"/>
                <a:lstStyle/>
                <a:p>
                  <a:pPr>
                    <a:defRPr b="0" sz="1200" spc="-1" strike="noStrike">
                      <a:solidFill>
                        <a:srgbClr val="000000"/>
                      </a:solidFill>
                      <a:latin typeface="Calibri"/>
                    </a:defRPr>
                  </a:pPr>
                </a:p>
              </c:txPr>
              <c:dLblPos val="bestFit"/>
              <c:showLegendKey val="0"/>
              <c:showVal val="0"/>
              <c:showCatName val="0"/>
              <c:showSerName val="0"/>
              <c:showPercent val="1"/>
              <c:separator>
</c:separator>
            </c:dLbl>
            <c:dLbl>
              <c:idx val="1"/>
              <c:txPr>
                <a:bodyPr wrap="square"/>
                <a:lstStyle/>
                <a:p>
                  <a:pPr>
                    <a:defRPr b="0" sz="1200" spc="-1" strike="noStrike">
                      <a:solidFill>
                        <a:srgbClr val="000000"/>
                      </a:solidFill>
                      <a:latin typeface="Calibri"/>
                    </a:defRPr>
                  </a:pPr>
                </a:p>
              </c:txPr>
              <c:dLblPos val="bestFit"/>
              <c:showLegendKey val="0"/>
              <c:showVal val="0"/>
              <c:showCatName val="0"/>
              <c:showSerName val="0"/>
              <c:showPercent val="1"/>
              <c:separator>
</c:separator>
            </c:dLbl>
            <c:dLbl>
              <c:idx val="2"/>
              <c:txPr>
                <a:bodyPr wrap="square"/>
                <a:lstStyle/>
                <a:p>
                  <a:pPr>
                    <a:defRPr b="0" sz="1200" spc="-1" strike="noStrike">
                      <a:solidFill>
                        <a:srgbClr val="000000"/>
                      </a:solidFill>
                      <a:latin typeface="Calibri"/>
                    </a:defRPr>
                  </a:pPr>
                </a:p>
              </c:txPr>
              <c:dLblPos val="bestFit"/>
              <c:showLegendKey val="0"/>
              <c:showVal val="0"/>
              <c:showCatName val="0"/>
              <c:showSerName val="0"/>
              <c:showPercent val="1"/>
              <c:separator>
</c:separator>
            </c:dLbl>
            <c:dLbl>
              <c:idx val="3"/>
              <c:txPr>
                <a:bodyPr wrap="square"/>
                <a:lstStyle/>
                <a:p>
                  <a:pPr>
                    <a:defRPr b="0" sz="1200" spc="-1" strike="noStrike">
                      <a:solidFill>
                        <a:srgbClr val="000000"/>
                      </a:solidFill>
                      <a:latin typeface="Calibri"/>
                    </a:defRPr>
                  </a:pPr>
                </a:p>
              </c:txPr>
              <c:dLblPos val="bestFit"/>
              <c:showLegendKey val="0"/>
              <c:showVal val="0"/>
              <c:showCatName val="0"/>
              <c:showSerName val="0"/>
              <c:showPercent val="1"/>
              <c:separator>
</c:separator>
            </c:dLbl>
            <c:txPr>
              <a:bodyPr wrap="square"/>
              <a:lstStyle/>
              <a:p>
                <a:pPr>
                  <a:defRPr b="0" sz="1200" spc="-1" strike="noStrike">
                    <a:solidFill>
                      <a:srgbClr val="000000"/>
                    </a:solidFill>
                    <a:latin typeface="Calibri"/>
                    <a:ea typeface="DejaVu Sans"/>
                  </a:defRPr>
                </a:pPr>
              </a:p>
            </c:txPr>
            <c:dLblPos val="bestFit"/>
            <c:showLegendKey val="0"/>
            <c:showVal val="0"/>
            <c:showCatName val="0"/>
            <c:showSerName val="0"/>
            <c:showPercent val="1"/>
            <c:separator>
</c:separator>
            <c:showLeaderLines val="1"/>
          </c:dLbls>
          <c:cat>
            <c:strRef>
              <c:f>categories</c:f>
              <c:strCache>
                <c:ptCount val="4"/>
                <c:pt idx="0">
                  <c:v>Населення</c:v>
                </c:pt>
                <c:pt idx="1">
                  <c:v>Бюджетні установи та КП</c:v>
                </c:pt>
                <c:pt idx="2">
                  <c:v>Промисловість</c:v>
                </c:pt>
                <c:pt idx="3">
                  <c:v>Третинний сектор</c:v>
                </c:pt>
              </c:strCache>
            </c:strRef>
          </c:cat>
          <c:val>
            <c:numRef>
              <c:f>0</c:f>
              <c:numCache>
                <c:formatCode>General</c:formatCode>
                <c:ptCount val="4"/>
                <c:pt idx="0">
                  <c:v>231390.3</c:v>
                </c:pt>
                <c:pt idx="1">
                  <c:v>88006.4</c:v>
                </c:pt>
                <c:pt idx="2">
                  <c:v>202767.4</c:v>
                </c:pt>
                <c:pt idx="3">
                  <c:v>85658.6</c:v>
                </c:pt>
              </c:numCache>
            </c:numRef>
          </c:val>
        </c:ser>
        <c:firstSliceAng val="0"/>
      </c:pieChart>
      <c:spPr>
        <a:noFill/>
        <a:ln w="25560">
          <a:noFill/>
        </a:ln>
      </c:spPr>
    </c:plotArea>
    <c:legend>
      <c:legendPos val="r"/>
      <c:layout>
        <c:manualLayout>
          <c:xMode val="edge"/>
          <c:yMode val="edge"/>
          <c:x val="0.560625"/>
          <c:y val="0.000777777777777778"/>
          <c:w val="0.398587411713232"/>
          <c:h val="0.997444160462274"/>
        </c:manualLayout>
      </c:layout>
      <c:overlay val="0"/>
      <c:spPr>
        <a:noFill/>
        <a:ln w="0">
          <a:noFill/>
        </a:ln>
      </c:spPr>
      <c:txPr>
        <a:bodyPr/>
        <a:lstStyle/>
        <a:p>
          <a:pPr>
            <a:defRPr b="0" sz="1000" spc="-1" strike="noStrike">
              <a:solidFill>
                <a:srgbClr val="000000"/>
              </a:solidFill>
              <a:latin typeface="Calibri"/>
              <a:ea typeface="DejaVu Sans"/>
            </a:defRPr>
          </a:pPr>
        </a:p>
      </c:txPr>
    </c:legend>
    <c:plotVisOnly val="1"/>
    <c:dispBlanksAs val="zero"/>
  </c:chart>
  <c:spPr>
    <a:solidFill>
      <a:srgbClr val="ffffff"/>
    </a:solidFill>
    <a:ln w="9360">
      <a:solidFill>
        <a:srgbClr val="808080"/>
      </a:solidFill>
      <a:round/>
    </a:ln>
  </c:spPr>
</c:chartSpace>
</file>

<file path=word/charts/chart44.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Теплова енергія</c:v>
                </c:pt>
              </c:strCache>
            </c:strRef>
          </c:tx>
          <c:spPr>
            <a:solidFill>
              <a:srgbClr val="004586"/>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0</c:f>
              <c:numCache>
                <c:formatCode>General</c:formatCode>
                <c:ptCount val="8"/>
                <c:pt idx="0">
                  <c:v>23667.1</c:v>
                </c:pt>
                <c:pt idx="1">
                  <c:v>21480.6</c:v>
                </c:pt>
                <c:pt idx="2">
                  <c:v>14735.2</c:v>
                </c:pt>
                <c:pt idx="3">
                  <c:v>12979.1</c:v>
                </c:pt>
                <c:pt idx="4">
                  <c:v>15049.2</c:v>
                </c:pt>
                <c:pt idx="5">
                  <c:v>9536.6</c:v>
                </c:pt>
                <c:pt idx="6">
                  <c:v>12327.8</c:v>
                </c:pt>
                <c:pt idx="7">
                  <c:v>10898.8</c:v>
                </c:pt>
              </c:numCache>
            </c:numRef>
          </c:val>
        </c:ser>
        <c:ser>
          <c:idx val="1"/>
          <c:order val="1"/>
          <c:tx>
            <c:strRef>
              <c:f>label 1</c:f>
              <c:strCache>
                <c:ptCount val="1"/>
                <c:pt idx="0">
                  <c:v>Природний газ</c:v>
                </c:pt>
              </c:strCache>
            </c:strRef>
          </c:tx>
          <c:spPr>
            <a:solidFill>
              <a:srgbClr val="ff420e"/>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1</c:f>
              <c:numCache>
                <c:formatCode>General</c:formatCode>
                <c:ptCount val="8"/>
                <c:pt idx="0">
                  <c:v>30278.4</c:v>
                </c:pt>
                <c:pt idx="1">
                  <c:v>27599.4</c:v>
                </c:pt>
                <c:pt idx="2">
                  <c:v>25979.6</c:v>
                </c:pt>
                <c:pt idx="3">
                  <c:v>193260.6</c:v>
                </c:pt>
                <c:pt idx="4">
                  <c:v>182752.7</c:v>
                </c:pt>
                <c:pt idx="5">
                  <c:v>124101.7</c:v>
                </c:pt>
                <c:pt idx="6">
                  <c:v>338868.9</c:v>
                </c:pt>
                <c:pt idx="7">
                  <c:v>371517.2</c:v>
                </c:pt>
              </c:numCache>
            </c:numRef>
          </c:val>
        </c:ser>
        <c:ser>
          <c:idx val="2"/>
          <c:order val="2"/>
          <c:tx>
            <c:strRef>
              <c:f>label 2</c:f>
              <c:strCache>
                <c:ptCount val="1"/>
                <c:pt idx="0">
                  <c:v>Електроенергія</c:v>
                </c:pt>
              </c:strCache>
            </c:strRef>
          </c:tx>
          <c:spPr>
            <a:solidFill>
              <a:srgbClr val="ffd320"/>
            </a:solidFill>
            <a:ln w="0">
              <a:noFill/>
            </a:ln>
          </c:spPr>
          <c:invertIfNegative val="0"/>
          <c:dLbls>
            <c:txPr>
              <a:bodyPr wrap="none"/>
              <a:lstStyle/>
              <a:p>
                <a:pPr>
                  <a:defRPr b="0" sz="1000" spc="-1" strike="noStrike">
                    <a:solidFill>
                      <a:srgbClr val="000000"/>
                    </a:solidFill>
                    <a:latin typeface="Arial"/>
                    <a:ea typeface="DejaVu Sans"/>
                  </a:defRPr>
                </a:pPr>
              </a:p>
            </c:txPr>
            <c:dLblPos val="outEnd"/>
            <c:showLegendKey val="0"/>
            <c:showVal val="0"/>
            <c:showCatName val="0"/>
            <c:showSerName val="0"/>
            <c:showPercent val="0"/>
            <c:separator> </c:separator>
            <c:showLeaderLines val="1"/>
            <c:extLst>
              <c:ext xmlns:c15="http://schemas.microsoft.com/office/drawing/2012/chart" uri="{CE6537A1-D6FC-4f65-9D91-7224C49458BB}">
                <c15:showLeaderLines val="1"/>
              </c:ext>
            </c:extLst>
          </c:dLbls>
          <c:cat>
            <c:strRef>
              <c:f>categories</c:f>
              <c:strCache>
                <c:ptCount val="8"/>
                <c:pt idx="0">
                  <c:v>2017</c:v>
                </c:pt>
                <c:pt idx="1">
                  <c:v>2018</c:v>
                </c:pt>
                <c:pt idx="2">
                  <c:v>2019</c:v>
                </c:pt>
                <c:pt idx="3">
                  <c:v>2020</c:v>
                </c:pt>
                <c:pt idx="4">
                  <c:v>2021</c:v>
                </c:pt>
                <c:pt idx="5">
                  <c:v>2022</c:v>
                </c:pt>
                <c:pt idx="6">
                  <c:v>2023</c:v>
                </c:pt>
                <c:pt idx="7">
                  <c:v>2024</c:v>
                </c:pt>
              </c:strCache>
            </c:strRef>
          </c:cat>
          <c:val>
            <c:numRef>
              <c:f>2</c:f>
              <c:numCache>
                <c:formatCode>General</c:formatCode>
                <c:ptCount val="8"/>
                <c:pt idx="0">
                  <c:v>289693</c:v>
                </c:pt>
                <c:pt idx="1">
                  <c:v>306380</c:v>
                </c:pt>
                <c:pt idx="2">
                  <c:v>241075</c:v>
                </c:pt>
                <c:pt idx="3">
                  <c:v>318766</c:v>
                </c:pt>
                <c:pt idx="4">
                  <c:v>367085</c:v>
                </c:pt>
                <c:pt idx="5">
                  <c:v>306496</c:v>
                </c:pt>
                <c:pt idx="6">
                  <c:v>214391</c:v>
                </c:pt>
                <c:pt idx="7">
                  <c:v>237718.7</c:v>
                </c:pt>
              </c:numCache>
            </c:numRef>
          </c:val>
        </c:ser>
        <c:gapWidth val="100"/>
        <c:overlap val="0"/>
        <c:axId val="66613201"/>
        <c:axId val="14274442"/>
      </c:barChart>
      <c:catAx>
        <c:axId val="66613201"/>
        <c:scaling>
          <c:orientation val="minMax"/>
        </c:scaling>
        <c:delete val="0"/>
        <c:axPos val="b"/>
        <c:numFmt formatCode="General" sourceLinked="0"/>
        <c:majorTickMark val="out"/>
        <c:minorTickMark val="none"/>
        <c:tickLblPos val="nextTo"/>
        <c:spPr>
          <a:ln w="0">
            <a:solidFill>
              <a:srgbClr val="b3b3b3"/>
            </a:solidFill>
          </a:ln>
        </c:spPr>
        <c:txPr>
          <a:bodyPr rot="-3600000"/>
          <a:lstStyle/>
          <a:p>
            <a:pPr>
              <a:defRPr b="0" sz="800" spc="-1" strike="noStrike">
                <a:solidFill>
                  <a:srgbClr val="000000"/>
                </a:solidFill>
                <a:latin typeface="Arial"/>
                <a:ea typeface="DejaVu Sans"/>
              </a:defRPr>
            </a:pPr>
          </a:p>
        </c:txPr>
        <c:crossAx val="14274442"/>
        <c:crosses val="autoZero"/>
        <c:auto val="1"/>
        <c:lblAlgn val="ctr"/>
        <c:lblOffset val="100"/>
        <c:noMultiLvlLbl val="0"/>
      </c:catAx>
      <c:valAx>
        <c:axId val="14274442"/>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b="0" sz="800" spc="-1" strike="noStrike">
                <a:solidFill>
                  <a:srgbClr val="000000"/>
                </a:solidFill>
                <a:latin typeface="Arial"/>
                <a:ea typeface="DejaVu Sans"/>
              </a:defRPr>
            </a:pPr>
          </a:p>
        </c:txPr>
        <c:crossAx val="66613201"/>
        <c:crossesAt val="1"/>
        <c:crossBetween val="between"/>
      </c:valAx>
      <c:spPr>
        <a:noFill/>
        <a:ln w="0">
          <a:solidFill>
            <a:srgbClr val="b3b3b3"/>
          </a:solidFill>
        </a:ln>
      </c:spPr>
    </c:plotArea>
    <c:legend>
      <c:legendPos val="b"/>
      <c:overlay val="0"/>
      <c:spPr>
        <a:noFill/>
        <a:ln w="0">
          <a:noFill/>
        </a:ln>
      </c:spPr>
      <c:txPr>
        <a:bodyPr/>
        <a:lstStyle/>
        <a:p>
          <a:pPr>
            <a:defRPr b="0" sz="800" spc="-1" strike="noStrike">
              <a:solidFill>
                <a:srgbClr val="000000"/>
              </a:solidFill>
              <a:latin typeface="Arial"/>
              <a:ea typeface="DejaVu Sans"/>
            </a:defRPr>
          </a:pPr>
        </a:p>
      </c:txPr>
    </c:legend>
    <c:plotVisOnly val="1"/>
    <c:dispBlanksAs val="gap"/>
  </c:chart>
  <c:spPr>
    <a:solidFill>
      <a:srgbClr val="ffffff"/>
    </a:solidFill>
    <a:ln w="0">
      <a:noFill/>
    </a:ln>
  </c:spPr>
</c:chartSpace>
</file>

<file path=word/charts/chart45.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2017</a:t>
            </a:r>
          </a:p>
        </c:rich>
      </c:tx>
      <c:overlay val="0"/>
      <c:spPr>
        <a:noFill/>
        <a:ln w="0">
          <a:noFill/>
        </a:ln>
      </c:spPr>
    </c:title>
    <c:autoTitleDeleted val="0"/>
    <c:plotArea>
      <c:pieChart>
        <c:varyColors val="1"/>
        <c:ser>
          <c:idx val="0"/>
          <c:order val="0"/>
          <c:tx>
            <c:strRef>
              <c:f>label 0</c:f>
              <c:strCache>
                <c:ptCount val="1"/>
                <c:pt idx="0">
                  <c:v>2017</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Lbls>
            <c:dLbl>
              <c:idx val="0"/>
              <c:txPr>
                <a:bodyPr wrap="none"/>
                <a:lstStyle/>
                <a:p>
                  <a:pPr>
                    <a:defRPr b="0" sz="1000" spc="-1" strike="noStrike">
                      <a:solidFill>
                        <a:srgbClr val="000000"/>
                      </a:solidFill>
                      <a:latin typeface="Arial"/>
                    </a:defRPr>
                  </a:pPr>
                </a:p>
              </c:txPr>
              <c:dLblPos val="outEnd"/>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3"/>
                <c:pt idx="0">
                  <c:v>Теплова енергія</c:v>
                </c:pt>
                <c:pt idx="1">
                  <c:v>Природний газ</c:v>
                </c:pt>
                <c:pt idx="2">
                  <c:v>Електроенергія</c:v>
                </c:pt>
              </c:strCache>
            </c:strRef>
          </c:cat>
          <c:val>
            <c:numRef>
              <c:f>0</c:f>
              <c:numCache>
                <c:formatCode>General</c:formatCode>
                <c:ptCount val="3"/>
                <c:pt idx="0">
                  <c:v>23667.1</c:v>
                </c:pt>
                <c:pt idx="1">
                  <c:v>30278.4</c:v>
                </c:pt>
                <c:pt idx="2">
                  <c:v>289693</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noFill/>
    <a:ln w="0">
      <a:noFill/>
    </a:ln>
  </c:spPr>
</c:chartSpace>
</file>

<file path=word/charts/chart46.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2024</a:t>
            </a:r>
          </a:p>
        </c:rich>
      </c:tx>
      <c:overlay val="0"/>
      <c:spPr>
        <a:noFill/>
        <a:ln w="0">
          <a:noFill/>
        </a:ln>
      </c:spPr>
    </c:title>
    <c:autoTitleDeleted val="0"/>
    <c:plotArea>
      <c:pieChart>
        <c:varyColors val="1"/>
        <c:ser>
          <c:idx val="0"/>
          <c:order val="0"/>
          <c:tx>
            <c:strRef>
              <c:f>label 0</c:f>
              <c:strCache>
                <c:ptCount val="1"/>
                <c:pt idx="0">
                  <c:v>2024</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3"/>
                <c:pt idx="0">
                  <c:v>Теплова енергія</c:v>
                </c:pt>
                <c:pt idx="1">
                  <c:v>Природний газ</c:v>
                </c:pt>
                <c:pt idx="2">
                  <c:v>Електроенергія</c:v>
                </c:pt>
              </c:strCache>
            </c:strRef>
          </c:cat>
          <c:val>
            <c:numRef>
              <c:f>0</c:f>
              <c:numCache>
                <c:formatCode>General</c:formatCode>
                <c:ptCount val="3"/>
                <c:pt idx="0">
                  <c:v>10898.8</c:v>
                </c:pt>
                <c:pt idx="1">
                  <c:v>371517.2</c:v>
                </c:pt>
                <c:pt idx="2">
                  <c:v>237718.7</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noFill/>
    <a:ln w="0">
      <a:noFill/>
    </a:ln>
  </c:spPr>
</c:chartSpace>
</file>

<file path=word/charts/chart47.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2024</a:t>
            </a:r>
          </a:p>
        </c:rich>
      </c:tx>
      <c:overlay val="0"/>
      <c:spPr>
        <a:noFill/>
        <a:ln w="0">
          <a:noFill/>
        </a:ln>
      </c:spPr>
    </c:title>
    <c:autoTitleDeleted val="0"/>
    <c:plotArea>
      <c:pieChart>
        <c:varyColors val="1"/>
        <c:ser>
          <c:idx val="0"/>
          <c:order val="0"/>
          <c:tx>
            <c:strRef>
              <c:f>label 0</c:f>
              <c:strCache>
                <c:ptCount val="1"/>
                <c:pt idx="0">
                  <c:v>Стовпчик M</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Pt>
            <c:idx val="3"/>
            <c:spPr>
              <a:solidFill>
                <a:srgbClr val="579d1c"/>
              </a:solidFill>
              <a:ln w="0">
                <a:noFill/>
              </a:ln>
            </c:spPr>
          </c:dPt>
          <c:dPt>
            <c:idx val="4"/>
            <c:spPr>
              <a:solidFill>
                <a:srgbClr val="7e0021"/>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4"/>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1"/>
          </c:dLbls>
          <c:cat>
            <c:strRef>
              <c:f>categories</c:f>
              <c:strCache>
                <c:ptCount val="5"/>
                <c:pt idx="0">
                  <c:v>Електроенергія</c:v>
                </c:pt>
                <c:pt idx="1">
                  <c:v>Бензин </c:v>
                </c:pt>
                <c:pt idx="2">
                  <c:v>Дизельне пальне </c:v>
                </c:pt>
                <c:pt idx="3">
                  <c:v>CNG (Метан) </c:v>
                </c:pt>
                <c:pt idx="4">
                  <c:v>LPG (Пропан-Бутан) </c:v>
                </c:pt>
              </c:strCache>
            </c:strRef>
          </c:cat>
          <c:val>
            <c:numRef>
              <c:f>0</c:f>
              <c:numCache>
                <c:formatCode>General</c:formatCode>
                <c:ptCount val="5"/>
                <c:pt idx="0">
                  <c:v>4856.02</c:v>
                </c:pt>
                <c:pt idx="1">
                  <c:v>9.510975</c:v>
                </c:pt>
                <c:pt idx="2">
                  <c:v>33324.804744</c:v>
                </c:pt>
                <c:pt idx="3">
                  <c:v>648.989785500001</c:v>
                </c:pt>
                <c:pt idx="4">
                  <c:v>42.8359554</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48.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2024</a:t>
            </a:r>
          </a:p>
        </c:rich>
      </c:tx>
      <c:overlay val="0"/>
      <c:spPr>
        <a:noFill/>
        <a:ln w="0">
          <a:noFill/>
        </a:ln>
      </c:spPr>
    </c:title>
    <c:autoTitleDeleted val="0"/>
    <c:plotArea>
      <c:pieChart>
        <c:varyColors val="1"/>
        <c:ser>
          <c:idx val="0"/>
          <c:order val="0"/>
          <c:tx>
            <c:strRef>
              <c:f>label 0</c:f>
              <c:strCache>
                <c:ptCount val="1"/>
                <c:pt idx="0">
                  <c:v>Стовпчик M</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Pt>
            <c:idx val="3"/>
            <c:spPr>
              <a:solidFill>
                <a:srgbClr val="579d1c"/>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4"/>
                <c:pt idx="0">
                  <c:v>Бензин </c:v>
                </c:pt>
                <c:pt idx="1">
                  <c:v>Дизельне пальне </c:v>
                </c:pt>
                <c:pt idx="2">
                  <c:v>CNG (Метан) </c:v>
                </c:pt>
                <c:pt idx="3">
                  <c:v>LPG (Пропан-Бутан) </c:v>
                </c:pt>
              </c:strCache>
            </c:strRef>
          </c:cat>
          <c:val>
            <c:numRef>
              <c:f>0</c:f>
              <c:numCache>
                <c:formatCode>General</c:formatCode>
                <c:ptCount val="4"/>
                <c:pt idx="0">
                  <c:v>1956.00253572</c:v>
                </c:pt>
                <c:pt idx="1">
                  <c:v>2439.93543528</c:v>
                </c:pt>
                <c:pt idx="2">
                  <c:v>111.3831299</c:v>
                </c:pt>
                <c:pt idx="3">
                  <c:v>851.398273878</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charts/chart49.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0" lang="ru-RU" sz="1300" spc="-1" strike="noStrike">
                <a:solidFill>
                  <a:srgbClr val="000000"/>
                </a:solidFill>
                <a:latin typeface="Arial"/>
                <a:ea typeface="DejaVu Sans"/>
              </a:defRPr>
            </a:pPr>
            <a:r>
              <a:rPr b="0" lang="ru-RU" sz="1300" spc="-1" strike="noStrike">
                <a:solidFill>
                  <a:srgbClr val="000000"/>
                </a:solidFill>
                <a:latin typeface="Arial"/>
                <a:ea typeface="DejaVu Sans"/>
              </a:rPr>
              <a:t>2024</a:t>
            </a:r>
          </a:p>
        </c:rich>
      </c:tx>
      <c:overlay val="0"/>
      <c:spPr>
        <a:noFill/>
        <a:ln w="0">
          <a:noFill/>
        </a:ln>
      </c:spPr>
    </c:title>
    <c:autoTitleDeleted val="0"/>
    <c:plotArea>
      <c:pieChart>
        <c:varyColors val="1"/>
        <c:ser>
          <c:idx val="0"/>
          <c:order val="0"/>
          <c:tx>
            <c:strRef>
              <c:f>label 0</c:f>
              <c:strCache>
                <c:ptCount val="1"/>
                <c:pt idx="0">
                  <c:v>Стовпчик M</c:v>
                </c:pt>
              </c:strCache>
            </c:strRef>
          </c:tx>
          <c:spPr>
            <a:solidFill>
              <a:srgbClr val="004586"/>
            </a:solidFill>
            <a:ln w="0">
              <a:noFill/>
            </a:ln>
          </c:spPr>
          <c:explosion val="0"/>
          <c:dPt>
            <c:idx val="0"/>
            <c:spPr>
              <a:solidFill>
                <a:srgbClr val="4f81bd"/>
              </a:solidFill>
              <a:ln w="0">
                <a:noFill/>
              </a:ln>
            </c:spPr>
          </c:dPt>
          <c:dPt>
            <c:idx val="1"/>
            <c:spPr>
              <a:solidFill>
                <a:srgbClr val="ff420e"/>
              </a:solidFill>
              <a:ln w="0">
                <a:noFill/>
              </a:ln>
            </c:spPr>
          </c:dPt>
          <c:dPt>
            <c:idx val="2"/>
            <c:spPr>
              <a:solidFill>
                <a:srgbClr val="ffd320"/>
              </a:solidFill>
              <a:ln w="0">
                <a:noFill/>
              </a:ln>
            </c:spPr>
          </c:dPt>
          <c:dPt>
            <c:idx val="3"/>
            <c:spPr>
              <a:solidFill>
                <a:srgbClr val="579d1c"/>
              </a:solidFill>
              <a:ln w="0">
                <a:noFill/>
              </a:ln>
            </c:spPr>
          </c:dPt>
          <c:dPt>
            <c:idx val="4"/>
            <c:spPr>
              <a:solidFill>
                <a:srgbClr val="7e0021"/>
              </a:solidFill>
              <a:ln w="0">
                <a:noFill/>
              </a:ln>
            </c:spPr>
          </c:dPt>
          <c:dLbls>
            <c:dLbl>
              <c:idx val="0"/>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1"/>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2"/>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3"/>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dLbl>
              <c:idx val="4"/>
              <c:txPr>
                <a:bodyPr wrap="none"/>
                <a:lstStyle/>
                <a:p>
                  <a:pPr>
                    <a:defRPr b="0" sz="1000" spc="-1" strike="noStrike">
                      <a:solidFill>
                        <a:srgbClr val="000000"/>
                      </a:solidFill>
                      <a:latin typeface="Arial"/>
                    </a:defRPr>
                  </a:pPr>
                </a:p>
              </c:txPr>
              <c:dLblPos val="bestFit"/>
              <c:showLegendKey val="0"/>
              <c:showVal val="0"/>
              <c:showCatName val="0"/>
              <c:showSerName val="0"/>
              <c:showPercent val="1"/>
              <c:separator> </c:separator>
            </c:dLbl>
            <c:txPr>
              <a:bodyPr wrap="none"/>
              <a:lstStyle/>
              <a:p>
                <a:pPr>
                  <a:defRPr b="0" sz="1000" spc="-1" strike="noStrike">
                    <a:solidFill>
                      <a:srgbClr val="000000"/>
                    </a:solidFill>
                    <a:latin typeface="Arial"/>
                    <a:ea typeface="DejaVu Sans"/>
                  </a:defRPr>
                </a:pPr>
              </a:p>
            </c:txPr>
            <c:dLblPos val="bestFit"/>
            <c:showLegendKey val="0"/>
            <c:showVal val="0"/>
            <c:showCatName val="0"/>
            <c:showSerName val="0"/>
            <c:showPercent val="1"/>
            <c:separator> </c:separator>
            <c:showLeaderLines val="0"/>
          </c:dLbls>
          <c:cat>
            <c:strRef>
              <c:f>categories</c:f>
              <c:strCache>
                <c:ptCount val="5"/>
                <c:pt idx="0">
                  <c:v>Електроенергія</c:v>
                </c:pt>
                <c:pt idx="1">
                  <c:v>Бензин </c:v>
                </c:pt>
                <c:pt idx="2">
                  <c:v>Дизельне пальне </c:v>
                </c:pt>
                <c:pt idx="3">
                  <c:v>CNG (Метан) </c:v>
                </c:pt>
                <c:pt idx="4">
                  <c:v>LPG (Пропан-Бутан) </c:v>
                </c:pt>
              </c:strCache>
            </c:strRef>
          </c:cat>
          <c:val>
            <c:numRef>
              <c:f>0</c:f>
              <c:numCache>
                <c:formatCode>General</c:formatCode>
                <c:ptCount val="5"/>
                <c:pt idx="0">
                  <c:v>992.2</c:v>
                </c:pt>
                <c:pt idx="1">
                  <c:v>104284.4</c:v>
                </c:pt>
                <c:pt idx="2">
                  <c:v>121904.1</c:v>
                </c:pt>
                <c:pt idx="3">
                  <c:v>5153</c:v>
                </c:pt>
                <c:pt idx="4">
                  <c:v>141.4</c:v>
                </c:pt>
              </c:numCache>
            </c:numRef>
          </c:val>
        </c:ser>
        <c:firstSliceAng val="0"/>
      </c:pieChart>
      <c:spPr>
        <a:noFill/>
        <a:ln w="0">
          <a:noFill/>
        </a:ln>
      </c:spPr>
    </c:plotArea>
    <c:legend>
      <c:legendPos val="r"/>
      <c:overlay val="0"/>
      <c:spPr>
        <a:noFill/>
        <a:ln w="0">
          <a:noFill/>
        </a:ln>
      </c:spPr>
      <c:txPr>
        <a:bodyPr/>
        <a:lstStyle/>
        <a:p>
          <a:pPr>
            <a:defRPr b="0" sz="1000" spc="-1" strike="noStrike">
              <a:solidFill>
                <a:srgbClr val="000000"/>
              </a:solidFill>
              <a:latin typeface="Arial"/>
              <a:ea typeface="DejaVu Sans"/>
            </a:defRPr>
          </a:pPr>
        </a:p>
      </c:txPr>
    </c:legend>
    <c:plotVisOnly val="1"/>
    <c:dispBlanksAs val="zero"/>
  </c:chart>
  <c:spPr>
    <a:solidFill>
      <a:srgbClr val="ffffff"/>
    </a:solidFill>
    <a:ln w="0">
      <a:noFill/>
    </a:ln>
  </c:spPr>
</c:chartSpace>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50949-980A-46C4-A56C-DBB842D60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2788</TotalTime>
  <Application>LibreOffice/7.6.4.1$Windows_X86_64 LibreOffice_project/e19e193f88cd6c0525a17fb7a176ed8e6a3e2aa1</Application>
  <AppVersion>15.0000</AppVersion>
  <Pages>102</Pages>
  <Words>23173</Words>
  <Characters>154922</Characters>
  <CharactersWithSpaces>171487</CharactersWithSpaces>
  <Paragraphs>7090</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2025-06-07T08:07:00Z</dcterms:created>
  <dc:creator>qwe</dc:creator>
  <dc:description/>
  <dc:language>uk-UA</dc:language>
  <cp:lastModifiedBy/>
  <cp:lastPrinted>2024-09-27T09:59:00Z</cp:lastPrinted>
  <dcterms:modified xsi:type="dcterms:W3CDTF">2025-08-05T12:17:28Z</dcterms:modified>
  <cp:revision>148</cp:revision>
  <dc:subject/>
  <dc:title/>
</cp:coreProperties>
</file>

<file path=docProps/custom.xml><?xml version="1.0" encoding="utf-8"?>
<Properties xmlns="http://schemas.openxmlformats.org/officeDocument/2006/custom-properties" xmlns:vt="http://schemas.openxmlformats.org/officeDocument/2006/docPropsVTypes"/>
</file>