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CEA" w:rsidRPr="00600C9F" w:rsidRDefault="00534CEA" w:rsidP="00534CEA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00C9F">
        <w:rPr>
          <w:rFonts w:ascii="Times New Roman" w:hAnsi="Times New Roman" w:cs="Times New Roman"/>
          <w:b/>
          <w:sz w:val="26"/>
          <w:szCs w:val="26"/>
          <w:lang w:eastAsia="uk-UA" w:bidi="uk-UA"/>
        </w:rPr>
        <w:t>Проєкт Структури Статуту Бориславської міської територіальної громади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 xml:space="preserve">ПРЕАМБУЛА </w:t>
      </w:r>
    </w:p>
    <w:p w:rsidR="00534CEA" w:rsidRPr="00600C9F" w:rsidRDefault="00534CEA" w:rsidP="00534CEA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highlight w:val="white"/>
        </w:rPr>
      </w:pPr>
    </w:p>
    <w:p w:rsidR="00534CEA" w:rsidRPr="00600C9F" w:rsidRDefault="00534CEA" w:rsidP="00534CE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РОЗДІЛ І. ЗАГАЛЬНІ ХАРАКТЕРИСТИКИ, ОСОБЛИВОСТІ ТА СИМВОЛІКА ТЕРИТОРІАЛЬНОЇ ГРОМАДИ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1. Загальна характеристика та особливості територіальної громади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2. Статут територіальної громади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3. Символіка територіальної громади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4. Місцеві свята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5. Почесні відзнаки територіальної громади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</w:r>
    </w:p>
    <w:p w:rsidR="00534CEA" w:rsidRPr="00600C9F" w:rsidRDefault="00534CEA" w:rsidP="00534CE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РОЗДІЛ ІІ. ЗАСАДИ ЗДІЙСНЕННЯ МІСЦЕВОГО САМОВРЯДУВАННЯ ТА ОСОБЛИВОСТІ ОРГАНІЗАЦІЇ РОБОТИ ОРГАНІВ МІСЦЕВОГО САМОВРЯДУВАННЯ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6. Основні принципи здійснення місцевого самоврядування в територіальній громаді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7. Система місцевого самоврядування в територіальній громаді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8.  Територіальна громада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9. Міська рада</w:t>
      </w:r>
    </w:p>
    <w:p w:rsidR="00534CEA" w:rsidRPr="00600C9F" w:rsidRDefault="00534CEA" w:rsidP="00534CE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10. Виконавчий комітет міської ради</w:t>
      </w:r>
    </w:p>
    <w:p w:rsidR="00534CEA" w:rsidRPr="00600C9F" w:rsidRDefault="00534CEA" w:rsidP="00534CEA">
      <w:pPr>
        <w:widowControl w:val="0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11. Міський голова</w:t>
      </w:r>
    </w:p>
    <w:p w:rsidR="00534CEA" w:rsidRPr="00600C9F" w:rsidRDefault="00534CEA" w:rsidP="00534CEA">
      <w:pPr>
        <w:widowControl w:val="0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12. Секретар міської ради</w:t>
      </w:r>
    </w:p>
    <w:p w:rsidR="00534CEA" w:rsidRPr="00600C9F" w:rsidRDefault="00534CEA" w:rsidP="00534CEA">
      <w:pPr>
        <w:widowControl w:val="0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13. Постійні комісії міської ради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14. Депутат міської ради</w:t>
      </w:r>
    </w:p>
    <w:p w:rsidR="00534CEA" w:rsidRPr="00600C9F" w:rsidRDefault="00534CEA" w:rsidP="00534CEA">
      <w:pPr>
        <w:widowControl w:val="0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15. Виконавчі органи міської ради</w:t>
      </w:r>
    </w:p>
    <w:p w:rsidR="00534CEA" w:rsidRPr="00600C9F" w:rsidRDefault="00534CEA" w:rsidP="00534CEA">
      <w:pPr>
        <w:widowControl w:val="0"/>
        <w:tabs>
          <w:tab w:val="left" w:pos="0"/>
          <w:tab w:val="center" w:pos="4677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16. Староста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tab/>
      </w:r>
    </w:p>
    <w:p w:rsidR="00534CEA" w:rsidRPr="00600C9F" w:rsidRDefault="00534CEA" w:rsidP="00534CEA">
      <w:pPr>
        <w:widowControl w:val="0"/>
        <w:tabs>
          <w:tab w:val="left" w:pos="0"/>
          <w:tab w:val="left" w:pos="993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17. Комунальні підприємства, установи та заклади</w:t>
      </w:r>
    </w:p>
    <w:p w:rsidR="00534CEA" w:rsidRPr="00600C9F" w:rsidRDefault="00534CEA" w:rsidP="00534CEA">
      <w:pPr>
        <w:widowControl w:val="0"/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 xml:space="preserve">РОЗДІЛ ІІІ. ПРАВА ЖИТЕЛІВ У ВИРІШЕННІ ПИТАНЬ МІСЦЕВОГО ЗНАЧЕННЯ, ОБОВ’ЯЗКИ ТА ГАРАНТІЇ ПРАВ ЖИТЕЛІВ </w:t>
      </w:r>
    </w:p>
    <w:p w:rsidR="00534CEA" w:rsidRPr="00600C9F" w:rsidRDefault="00534CEA" w:rsidP="00534CEA">
      <w:pPr>
        <w:widowControl w:val="0"/>
        <w:tabs>
          <w:tab w:val="left" w:pos="0"/>
          <w:tab w:val="left" w:pos="993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18. Права жителів  на участь у вирішенні питань місцевого значення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19. Обов’язки жителів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 xml:space="preserve">Стаття 20. Гарантії прав жителів </w:t>
      </w:r>
    </w:p>
    <w:p w:rsidR="00534CEA" w:rsidRPr="00600C9F" w:rsidRDefault="00534CEA" w:rsidP="00534CEA">
      <w:pPr>
        <w:widowControl w:val="0"/>
        <w:tabs>
          <w:tab w:val="left" w:pos="0"/>
          <w:tab w:val="left" w:pos="993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РОЗДІЛ ІV. ФОРМИ ТА ПОРЯДОК УЧАСТІ ТЕРИТОРІАЛЬНОЇ ГРОМАДИ У ВИРІШЕННІ ПИТАНЬ МІСЦЕВОГО ЗНАЧЕННЯ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21. Форми участі територіальної громади у вирішенні питань місцевого значення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22. Місцевий референдум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23. Загальні збори (конференція) жителів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24. Місцева ініціатива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25. Громадські слухання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 xml:space="preserve">Стаття 26. Звернення громадян та електронні петиції як особлива форма колективного звернення громадян 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 xml:space="preserve">Стаття 27. Публічні консультації </w:t>
      </w:r>
    </w:p>
    <w:p w:rsidR="00534CEA" w:rsidRPr="00600C9F" w:rsidRDefault="00534CEA" w:rsidP="00534CE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 xml:space="preserve">Стаття 28. Участь жителів в консультативно-дорадчих органах, утворених при міській раді, її виконавчих органах та посадових особах 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29. Участь жителів в роботі контрольно-наглядових органів юридичних осіб публічного права, утворених за рішенням міської ради</w:t>
      </w:r>
    </w:p>
    <w:p w:rsidR="00534CEA" w:rsidRPr="00600C9F" w:rsidRDefault="00534CEA" w:rsidP="00534CE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Стаття 30. 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t>Участь жителів у плануванні та розподілі коштів бюджету територіальної громади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РОЗДІЛ V. ОРГАНИ САМООРГАНІЗАЦІЇ НАСЕЛЕННЯ</w:t>
      </w:r>
    </w:p>
    <w:p w:rsidR="00534CEA" w:rsidRPr="00600C9F" w:rsidRDefault="00534CEA" w:rsidP="00534CEA">
      <w:pPr>
        <w:tabs>
          <w:tab w:val="left" w:pos="6676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31. Органи самоорганізації населення</w:t>
      </w:r>
    </w:p>
    <w:p w:rsidR="00534CEA" w:rsidRPr="00600C9F" w:rsidRDefault="00534CEA" w:rsidP="00534CEA">
      <w:pPr>
        <w:tabs>
          <w:tab w:val="left" w:pos="6676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 xml:space="preserve">Стаття 32. Територія діяльності органів самоорганізації населення </w:t>
      </w:r>
    </w:p>
    <w:p w:rsidR="00534CEA" w:rsidRPr="00600C9F" w:rsidRDefault="00534CEA" w:rsidP="00534CEA">
      <w:pPr>
        <w:tabs>
          <w:tab w:val="left" w:pos="6676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33. Повноваження органів самоорганізації населення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34. Строк повноважень органу самоорганізації населення та його персонального складу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 xml:space="preserve">Стаття 35. Прозорість діяльності та підзвітність органу самоорганізації населення 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36. Порядок утворення і діяльності органів самоорганізації населення та делегування їм повноважень</w:t>
      </w:r>
    </w:p>
    <w:p w:rsidR="00534CEA" w:rsidRPr="00600C9F" w:rsidRDefault="00534CEA" w:rsidP="00534C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</w:p>
    <w:p w:rsidR="00534CEA" w:rsidRPr="00600C9F" w:rsidRDefault="00534CEA" w:rsidP="00534C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РОЗДІЛ VІ. УЧАСТЬ МОЛОДІ У МІСЦЕВОМУ САМОВРЯДУВАННІ</w:t>
      </w:r>
    </w:p>
    <w:p w:rsidR="00534CEA" w:rsidRPr="00600C9F" w:rsidRDefault="00534CEA" w:rsidP="00534CEA">
      <w:pPr>
        <w:shd w:val="clear" w:color="auto" w:fill="FFFFFF"/>
        <w:spacing w:after="0" w:line="240" w:lineRule="auto"/>
        <w:ind w:right="-60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37. Участь молоді у місцевому самоврядуванні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38. Механізми участі молоді у місцевому самоврядуванні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39. Молодіжна рада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40. Роль міської ради, її виконавчих органів та міського голови  у сфері молодіжної політики</w:t>
      </w:r>
    </w:p>
    <w:p w:rsidR="00534CEA" w:rsidRPr="00600C9F" w:rsidRDefault="00534CEA" w:rsidP="00534CEA">
      <w:pPr>
        <w:shd w:val="clear" w:color="auto" w:fill="FFFFFF"/>
        <w:spacing w:after="0" w:line="240" w:lineRule="auto"/>
        <w:ind w:right="-60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41. Молодіжні центри та простори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42. Підтримка обдарованої молоді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</w:r>
    </w:p>
    <w:p w:rsidR="00534CEA" w:rsidRPr="00600C9F" w:rsidRDefault="00534CEA" w:rsidP="00534CEA">
      <w:pPr>
        <w:shd w:val="clear" w:color="auto" w:fill="FFFFFF"/>
        <w:spacing w:after="0" w:line="240" w:lineRule="auto"/>
        <w:ind w:right="-60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РОЗДІЛ VIІ. ОСНОВНІ ЗАСАДИ ВЗАЄМОДІЇ ОРГАНІВ ТА ПОСАДОВИХ ОСІБ МІСЦЕВОГО САМОВРЯДУВАННЯ З ОБ’ЄДНАННЯМИ ГРОМАДЯН ТА ІНШИМИ СУБ’ЄКТАМИ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43. Взаємовідносини органів та посадових осіб місцевого самоврядування з об’єднаннями громадян  та іншими суб’єктами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44. Взаємовідносини територіальної громади з іншими територіальними громадами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45. Участь в асоційованих організаціях і міжнародна співпраця</w:t>
      </w:r>
    </w:p>
    <w:p w:rsidR="00534CEA" w:rsidRPr="00600C9F" w:rsidRDefault="00534CEA" w:rsidP="00534CEA">
      <w:pPr>
        <w:shd w:val="clear" w:color="auto" w:fill="FFFFFF"/>
        <w:spacing w:after="0" w:line="240" w:lineRule="auto"/>
        <w:ind w:right="-60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РОЗДІЛ VIII. ФОРМИ ТА ПОРЯДОК ЗДІЙСНЕННЯ ГРОМАДСЬКОГО КОНТРОЛЮ ЗА ДІЯЛЬНІСТЮ ОРГАНІВ ТА ПОСАДОВИХ ОСІБ МІСЦЕВОГО САМОВРЯДУВАННЯ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 xml:space="preserve">Стаття 46. Засади громадського контролю за діяльністю органів та посадових осіб місцевого самоврядування  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 xml:space="preserve">Стаття 47. Форми здійснення громадського контролю за діяльністю органів та посадових осіб місцевого самоврядування  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 xml:space="preserve">Стаття 48. Громадське оцінювання діяльності органів та посадових осіб місцевого самоврядування </w:t>
      </w:r>
    </w:p>
    <w:p w:rsidR="00534CEA" w:rsidRPr="00600C9F" w:rsidRDefault="00534CEA" w:rsidP="00534CEA">
      <w:pPr>
        <w:shd w:val="clear" w:color="auto" w:fill="FFFFFF"/>
        <w:spacing w:after="0" w:line="240" w:lineRule="auto"/>
        <w:ind w:right="-60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РОЗДІЛ IХ. ЗАСАДИ РОЗВИТКУ ТЕРИТОРІАЛЬНОЇ ГРОМАДИ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 xml:space="preserve">Стаття 49. Організація </w:t>
      </w:r>
      <w:r>
        <w:rPr>
          <w:rFonts w:ascii="Times New Roman" w:hAnsi="Times New Roman" w:cs="Times New Roman"/>
          <w:sz w:val="26"/>
          <w:szCs w:val="26"/>
          <w:highlight w:val="white"/>
        </w:rPr>
        <w:t>життєдіяльності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t xml:space="preserve"> територіальної громади на засадах сталого розвитку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50. Стратегічні документи з розвитку територіальної громади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 xml:space="preserve">Стаття 51. Стратегія розвитку територіальної громади 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52. Реалізація завдань стратегічних документів з розвитку територіальної громади</w:t>
      </w:r>
    </w:p>
    <w:p w:rsidR="00534CEA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53. Порядок планування та розподілу бюджету територіальної громади</w:t>
      </w:r>
    </w:p>
    <w:p w:rsidR="00534CEA" w:rsidRPr="00600C9F" w:rsidRDefault="00534CEA" w:rsidP="00534CE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0C9F">
        <w:rPr>
          <w:rFonts w:ascii="Times New Roman" w:hAnsi="Times New Roman" w:cs="Times New Roman"/>
          <w:sz w:val="26"/>
          <w:szCs w:val="26"/>
        </w:rPr>
        <w:t>Стаття 53-1. Планування публічних інвестицій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54. Охорона довкілля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55. Загальні засади планування територій загального користування в територіальній громаді та участь жителів в цьому процесі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 xml:space="preserve">Стаття 56. Охорона культурної спадщини та інших цінних об'єктів територіальної 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lastRenderedPageBreak/>
        <w:t>громади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 xml:space="preserve">Стаття 57. Застосування </w:t>
      </w:r>
      <w:proofErr w:type="spellStart"/>
      <w:r w:rsidRPr="00600C9F">
        <w:rPr>
          <w:rFonts w:ascii="Times New Roman" w:hAnsi="Times New Roman" w:cs="Times New Roman"/>
          <w:sz w:val="26"/>
          <w:szCs w:val="26"/>
          <w:highlight w:val="white"/>
        </w:rPr>
        <w:t>гендерно</w:t>
      </w:r>
      <w:proofErr w:type="spellEnd"/>
      <w:r w:rsidRPr="00600C9F">
        <w:rPr>
          <w:rFonts w:ascii="Times New Roman" w:hAnsi="Times New Roman" w:cs="Times New Roman"/>
          <w:sz w:val="26"/>
          <w:szCs w:val="26"/>
          <w:highlight w:val="white"/>
        </w:rPr>
        <w:t xml:space="preserve"> орієнтованого підходу під час планування розвитку територіальної громади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58. Розвиток науки й освіти, охорони здоров’я, фізкультури і спорту, культури та мистецтва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 xml:space="preserve">Стаття 59. Розвиток волонтерської діяльності 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 xml:space="preserve">Стаття 60. Утвердження української національної та громадянської ідентичності 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РОЗДІЛ Х. ПОРЯДОК ІНФОРМУВАННЯ, ЗВІТУВАННЯ ОРГАНІВ ТА ПОСАДОВИХ ОСІБ МІСЦЕВОГО САМОВРЯДУВАННЯ, ДЕПУТАТІВ РАДИ ПЕРЕД ТЕРИТОРІАЛЬНОЮ ГРОМАДОЮ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61. Засади інформування територіальної громади про діяльність органів та посадових осіб місцевого самоврядування, депутатів ради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62. Загальні засади звітування органів та посадових осіб місцевого самоврядування, депутатів міської ради перед територіальною громадою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63. Звітування міського голови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64. Звітування депутатів міської ради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65. Звітування виконавчих органів міської ради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66. Звітування старости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РОЗДІЛ ХІ. ЗАСАДИ ВІДКРИТОСТІ ТА ПРОЗОРОСТІ ДІЯЛЬНОСТІ ОРГАНІВ ТА ПОСАДОВИХ ОСІБ МІСЦЕВОГО САМОВРЯДУВАННЯ, ПОРЯДОК ЇХ РЕАЛІЗАЦІЇ</w:t>
      </w:r>
    </w:p>
    <w:p w:rsidR="00534CEA" w:rsidRPr="00600C9F" w:rsidRDefault="00534CEA" w:rsidP="00534CE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67. Загальні засади</w:t>
      </w:r>
    </w:p>
    <w:p w:rsidR="00534CEA" w:rsidRPr="00600C9F" w:rsidRDefault="00534CEA" w:rsidP="00534CE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Стаття 68. Відкритість та прозорість пленарних засідань міської ради, засідань постійних комісій міської ради та виконавчого комітету міської ради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69. Загальні вимоги до функціонування офіційного веб-сайту міської ради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70. Інформація, що розміщується на офіційному веб-сайті міської ради</w:t>
      </w:r>
      <w:r w:rsidRPr="00600C9F">
        <w:rPr>
          <w:rFonts w:ascii="Times New Roman" w:hAnsi="Times New Roman" w:cs="Times New Roman"/>
          <w:sz w:val="26"/>
          <w:szCs w:val="26"/>
          <w:highlight w:val="white"/>
        </w:rPr>
        <w:br/>
        <w:t>Стаття 71. Інформування про діяльність комунальних підприємств</w:t>
      </w:r>
    </w:p>
    <w:p w:rsidR="00534CEA" w:rsidRPr="00600C9F" w:rsidRDefault="00534CEA" w:rsidP="00534CE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 xml:space="preserve">  </w:t>
      </w:r>
    </w:p>
    <w:p w:rsidR="00534CEA" w:rsidRPr="00600C9F" w:rsidRDefault="00534CEA" w:rsidP="00534CEA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РОЗДІЛ ХІІ ЗАКЛЮЧНІ ПОЛОЖЕННЯ</w:t>
      </w:r>
    </w:p>
    <w:p w:rsidR="00534CEA" w:rsidRPr="00600C9F" w:rsidRDefault="00534CEA" w:rsidP="00534CE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Додаток № 1. Положення про загальні збори (конференцію) жителів</w:t>
      </w:r>
    </w:p>
    <w:p w:rsidR="00534CEA" w:rsidRPr="00600C9F" w:rsidRDefault="00534CEA" w:rsidP="00534CE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 xml:space="preserve">Додаток № 2. Положення про місцеві ініціативи </w:t>
      </w:r>
    </w:p>
    <w:p w:rsidR="00534CEA" w:rsidRPr="00600C9F" w:rsidRDefault="00534CEA" w:rsidP="00534CE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 xml:space="preserve">Додаток № 3. Положення про громадські слухання </w:t>
      </w:r>
    </w:p>
    <w:p w:rsidR="00534CEA" w:rsidRPr="00600C9F" w:rsidRDefault="00534CEA" w:rsidP="00534CE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Додаток № 4. Положення про громадське оцінювання діяльності органів та посадових осіб місцевого самоврядування</w:t>
      </w:r>
    </w:p>
    <w:p w:rsidR="00534CEA" w:rsidRPr="00600C9F" w:rsidRDefault="00534CEA" w:rsidP="00534CE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Додаток № 5. Положення про електронні петиції</w:t>
      </w:r>
    </w:p>
    <w:p w:rsidR="00534CEA" w:rsidRPr="00600C9F" w:rsidRDefault="00534CEA" w:rsidP="00534CE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 w:rsidRPr="00600C9F">
        <w:rPr>
          <w:rFonts w:ascii="Times New Roman" w:hAnsi="Times New Roman" w:cs="Times New Roman"/>
          <w:sz w:val="26"/>
          <w:szCs w:val="26"/>
          <w:highlight w:val="white"/>
        </w:rPr>
        <w:t>Додаток № 6. Положення про публічні консультації</w:t>
      </w:r>
    </w:p>
    <w:p w:rsidR="00491485" w:rsidRDefault="00491485"/>
    <w:sectPr w:rsidR="00491485" w:rsidSect="008073CE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CEA"/>
    <w:rsid w:val="00491485"/>
    <w:rsid w:val="00534CEA"/>
    <w:rsid w:val="0064500E"/>
    <w:rsid w:val="0080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C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C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4046</Words>
  <Characters>2307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Користувач</cp:lastModifiedBy>
  <cp:revision>2</cp:revision>
  <dcterms:created xsi:type="dcterms:W3CDTF">2025-07-28T07:25:00Z</dcterms:created>
  <dcterms:modified xsi:type="dcterms:W3CDTF">2025-07-28T07:25:00Z</dcterms:modified>
</cp:coreProperties>
</file>